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7F" w:rsidRDefault="0065077F" w:rsidP="0065077F">
      <w:pPr>
        <w:pStyle w:val="NormaleWeb"/>
        <w:kinsoku w:val="0"/>
        <w:overflowPunct w:val="0"/>
        <w:spacing w:before="0" w:beforeAutospacing="0" w:after="0" w:afterAutospacing="0"/>
        <w:ind w:firstLine="418"/>
        <w:jc w:val="center"/>
        <w:textAlignment w:val="baseline"/>
      </w:pPr>
      <w:r w:rsidRPr="00FD3BAC">
        <w:rPr>
          <w:noProof/>
          <w:sz w:val="40"/>
          <w:szCs w:val="40"/>
        </w:rPr>
        <w:drawing>
          <wp:anchor distT="0" distB="0" distL="114300" distR="114300" simplePos="0" relativeHeight="251659264" behindDoc="1" locked="0" layoutInCell="1" allowOverlap="1" wp14:anchorId="386A5A49" wp14:editId="63167850">
            <wp:simplePos x="0" y="0"/>
            <wp:positionH relativeFrom="column">
              <wp:posOffset>-598170</wp:posOffset>
            </wp:positionH>
            <wp:positionV relativeFrom="paragraph">
              <wp:posOffset>6985</wp:posOffset>
            </wp:positionV>
            <wp:extent cx="1002030" cy="815340"/>
            <wp:effectExtent l="0" t="0" r="7620" b="3810"/>
            <wp:wrapTight wrapText="bothSides">
              <wp:wrapPolygon edited="0">
                <wp:start x="8213" y="0"/>
                <wp:lineTo x="0" y="5551"/>
                <wp:lineTo x="0" y="17159"/>
                <wp:lineTo x="7802" y="21196"/>
                <wp:lineTo x="9445" y="21196"/>
                <wp:lineTo x="13141" y="21196"/>
                <wp:lineTo x="13551" y="21196"/>
                <wp:lineTo x="21354" y="15645"/>
                <wp:lineTo x="21354" y="4542"/>
                <wp:lineTo x="19711" y="3533"/>
                <wp:lineTo x="11909" y="0"/>
                <wp:lineTo x="8213" y="0"/>
              </wp:wrapPolygon>
            </wp:wrapTight>
            <wp:docPr id="20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2030" cy="815340"/>
                    </a:xfrm>
                    <a:prstGeom prst="rect">
                      <a:avLst/>
                    </a:prstGeom>
                    <a:noFill/>
                    <a:extLst/>
                  </pic:spPr>
                </pic:pic>
              </a:graphicData>
            </a:graphic>
            <wp14:sizeRelH relativeFrom="margin">
              <wp14:pctWidth>0</wp14:pctWidth>
            </wp14:sizeRelH>
            <wp14:sizeRelV relativeFrom="margin">
              <wp14:pctHeight>0</wp14:pctHeight>
            </wp14:sizeRelV>
          </wp:anchor>
        </w:drawing>
      </w: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OSSERVATORIO SULLA GIUSTIZIA CIVILE</w:t>
      </w:r>
    </w:p>
    <w:p w:rsidR="0065077F" w:rsidRDefault="0065077F" w:rsidP="0065077F">
      <w:pPr>
        <w:pStyle w:val="NormaleWeb"/>
        <w:kinsoku w:val="0"/>
        <w:overflowPunct w:val="0"/>
        <w:spacing w:before="0" w:beforeAutospacing="0" w:after="0" w:afterAutospacing="0"/>
        <w:ind w:firstLine="418"/>
        <w:jc w:val="center"/>
        <w:textAlignment w:val="baseline"/>
      </w:pPr>
      <w:r w:rsidRPr="00987517">
        <w:rPr>
          <w:rFonts w:asciiTheme="majorHAnsi" w:eastAsia="Arial" w:hAnsi="Arial" w:cs="Arial"/>
          <w:color w:val="CC6600"/>
          <w:sz w:val="48"/>
          <w:szCs w:val="48"/>
          <w14:shadow w14:blurRad="38100" w14:dist="38100" w14:dir="2700000" w14:sx="100000" w14:sy="100000" w14:kx="0" w14:ky="0" w14:algn="tl">
            <w14:srgbClr w14:val="000000">
              <w14:alpha w14:val="57000"/>
            </w14:srgbClr>
          </w14:shadow>
        </w:rPr>
        <w:t>DI MILANO</w:t>
      </w:r>
    </w:p>
    <w:p w:rsidR="0065077F" w:rsidRDefault="0065077F" w:rsidP="0065077F">
      <w:pPr>
        <w:pStyle w:val="NormaleWeb"/>
        <w:kinsoku w:val="0"/>
        <w:overflowPunct w:val="0"/>
        <w:spacing w:before="0" w:beforeAutospacing="0" w:after="0" w:afterAutospacing="0"/>
        <w:ind w:firstLine="418"/>
        <w:jc w:val="center"/>
        <w:textAlignment w:val="baseline"/>
        <w:rPr>
          <w:rFonts w:ascii="Roboto" w:eastAsia="Roboto" w:hAnsi="Roboto" w:cs="Roboto"/>
          <w:b/>
          <w:bCs/>
          <w:color w:val="000000" w:themeColor="text1" w:themeShade="BF"/>
          <w:sz w:val="48"/>
          <w:szCs w:val="48"/>
        </w:rPr>
      </w:pPr>
      <w:r w:rsidRPr="00987517">
        <w:rPr>
          <w:rFonts w:asciiTheme="majorHAnsi" w:eastAsia="Arial" w:hAnsi="Arial" w:cs="Arial"/>
          <w:color w:val="CC6600"/>
          <w:sz w:val="40"/>
          <w:szCs w:val="40"/>
          <w14:shadow w14:blurRad="38100" w14:dist="38100" w14:dir="2700000" w14:sx="100000" w14:sy="100000" w14:kx="0" w14:ky="0" w14:algn="tl">
            <w14:srgbClr w14:val="000000">
              <w14:alpha w14:val="57000"/>
            </w14:srgbClr>
          </w14:shadow>
        </w:rPr>
        <w:t xml:space="preserve"> </w:t>
      </w:r>
      <w:r>
        <w:rPr>
          <w:rFonts w:ascii="Roboto" w:eastAsia="Roboto" w:hAnsi="Roboto" w:cs="Roboto"/>
          <w:b/>
          <w:bCs/>
          <w:color w:val="000000" w:themeColor="text1" w:themeShade="BF"/>
          <w:sz w:val="32"/>
          <w:szCs w:val="32"/>
        </w:rPr>
        <w:t xml:space="preserve">Gruppo Danno alla Persona </w:t>
      </w:r>
      <w:r w:rsidRPr="00947D92">
        <w:rPr>
          <w:rFonts w:ascii="Roboto" w:eastAsia="Roboto" w:hAnsi="Roboto" w:cs="Roboto"/>
          <w:b/>
          <w:bCs/>
          <w:color w:val="000000" w:themeColor="text1" w:themeShade="BF"/>
          <w:sz w:val="32"/>
          <w:szCs w:val="32"/>
        </w:rPr>
        <w:t>Gruppo</w:t>
      </w:r>
      <w:r>
        <w:rPr>
          <w:rFonts w:ascii="Roboto" w:eastAsia="Roboto" w:hAnsi="Roboto" w:cs="Roboto"/>
          <w:b/>
          <w:bCs/>
          <w:color w:val="000000" w:themeColor="text1" w:themeShade="BF"/>
          <w:sz w:val="32"/>
          <w:szCs w:val="32"/>
        </w:rPr>
        <w:t xml:space="preserve"> «</w:t>
      </w:r>
      <w:r>
        <w:rPr>
          <w:rFonts w:ascii="Roboto" w:eastAsia="Roboto" w:hAnsi="Roboto" w:cs="Roboto"/>
          <w:b/>
          <w:bCs/>
          <w:color w:val="000000" w:themeColor="text1" w:themeShade="BF"/>
          <w:sz w:val="32"/>
          <w:szCs w:val="32"/>
        </w:rPr>
        <w:t>Quattro</w:t>
      </w:r>
      <w:r>
        <w:rPr>
          <w:rFonts w:ascii="Roboto" w:eastAsia="Roboto" w:hAnsi="Roboto" w:cs="Roboto"/>
          <w:b/>
          <w:bCs/>
          <w:color w:val="000000" w:themeColor="text1" w:themeShade="BF"/>
          <w:sz w:val="48"/>
          <w:szCs w:val="48"/>
        </w:rPr>
        <w:t>»</w:t>
      </w:r>
    </w:p>
    <w:p w:rsidR="00302A7C" w:rsidRPr="002B6D90" w:rsidRDefault="00302A7C" w:rsidP="00C76C1C">
      <w:pPr>
        <w:jc w:val="center"/>
        <w:rPr>
          <w:rFonts w:ascii="Palatino" w:hAnsi="Palatino" w:cs="Arial"/>
          <w:b/>
        </w:rPr>
      </w:pPr>
    </w:p>
    <w:p w:rsidR="00F924F7" w:rsidRPr="0065077F" w:rsidRDefault="00F924F7" w:rsidP="00F924F7">
      <w:pPr>
        <w:jc w:val="center"/>
        <w:rPr>
          <w:rFonts w:ascii="Palatino" w:hAnsi="Palatino"/>
          <w:i/>
        </w:rPr>
      </w:pPr>
      <w:r w:rsidRPr="0065077F">
        <w:rPr>
          <w:rFonts w:ascii="Palatino" w:hAnsi="Palatino" w:cs="Arial"/>
          <w:i/>
        </w:rPr>
        <w:t>Criteri orientativi per la liquidazione del danno terminale</w:t>
      </w:r>
    </w:p>
    <w:p w:rsidR="00302A7C" w:rsidRPr="00042E29" w:rsidRDefault="00302A7C" w:rsidP="00302A7C">
      <w:pPr>
        <w:jc w:val="both"/>
        <w:rPr>
          <w:rFonts w:ascii="Palatino" w:hAnsi="Palatino"/>
          <w:b/>
          <w:u w:val="single"/>
        </w:rPr>
      </w:pPr>
    </w:p>
    <w:p w:rsidR="00C76C1C" w:rsidRPr="00042E29" w:rsidRDefault="00C76C1C" w:rsidP="00C76C1C">
      <w:pPr>
        <w:jc w:val="center"/>
        <w:rPr>
          <w:rFonts w:ascii="Palatino" w:hAnsi="Palatino"/>
          <w:b/>
          <w:u w:val="single"/>
        </w:rPr>
      </w:pPr>
    </w:p>
    <w:p w:rsidR="00B35101" w:rsidRPr="00042E29" w:rsidRDefault="00FB1DDB" w:rsidP="00C76C1C">
      <w:pPr>
        <w:jc w:val="both"/>
        <w:rPr>
          <w:rFonts w:ascii="Palatino" w:hAnsi="Palatino" w:cs="Arial"/>
        </w:rPr>
      </w:pPr>
      <w:r w:rsidRPr="00042E29">
        <w:rPr>
          <w:rFonts w:ascii="Palatino" w:hAnsi="Palatino" w:cs="Arial"/>
        </w:rPr>
        <w:t>L’Osservatorio sulla Giustizia del Tribunale di Milano</w:t>
      </w:r>
      <w:r w:rsidR="001B727A" w:rsidRPr="00042E29">
        <w:rPr>
          <w:rFonts w:ascii="Palatino" w:hAnsi="Palatino" w:cs="Arial"/>
        </w:rPr>
        <w:t xml:space="preserve"> ha promosso</w:t>
      </w:r>
      <w:r w:rsidR="00B35101" w:rsidRPr="00042E29">
        <w:rPr>
          <w:rFonts w:ascii="Palatino" w:hAnsi="Palatino" w:cs="Arial"/>
        </w:rPr>
        <w:t xml:space="preserve"> la costituzione</w:t>
      </w:r>
      <w:r w:rsidR="00901E07" w:rsidRPr="00042E29">
        <w:rPr>
          <w:rFonts w:ascii="Palatino" w:hAnsi="Palatino" w:cs="Arial"/>
        </w:rPr>
        <w:t xml:space="preserve">, al suo interno, di alcuni gruppi di lavoro volti ad approfondire i criteri di liquidazione di alcune poste di danno </w:t>
      </w:r>
      <w:r w:rsidR="00B860C6" w:rsidRPr="00042E29">
        <w:rPr>
          <w:rFonts w:ascii="Palatino" w:hAnsi="Palatino" w:cs="Arial"/>
        </w:rPr>
        <w:t>(</w:t>
      </w:r>
      <w:r w:rsidR="00901E07" w:rsidRPr="00042E29">
        <w:rPr>
          <w:rFonts w:ascii="Palatino" w:hAnsi="Palatino" w:cs="Arial"/>
        </w:rPr>
        <w:t>non patrimoniale</w:t>
      </w:r>
      <w:r w:rsidR="00B860C6" w:rsidRPr="00042E29">
        <w:rPr>
          <w:rFonts w:ascii="Palatino" w:hAnsi="Palatino" w:cs="Arial"/>
        </w:rPr>
        <w:t>)</w:t>
      </w:r>
      <w:r w:rsidR="00901E07" w:rsidRPr="00042E29">
        <w:rPr>
          <w:rFonts w:ascii="Palatino" w:hAnsi="Palatino" w:cs="Arial"/>
        </w:rPr>
        <w:t xml:space="preserve"> </w:t>
      </w:r>
      <w:r w:rsidR="00B860C6" w:rsidRPr="00042E29">
        <w:rPr>
          <w:rFonts w:ascii="Palatino" w:hAnsi="Palatino" w:cs="Arial"/>
        </w:rPr>
        <w:t xml:space="preserve">ad </w:t>
      </w:r>
      <w:r w:rsidR="00901E07" w:rsidRPr="00042E29">
        <w:rPr>
          <w:rFonts w:ascii="Palatino" w:hAnsi="Palatino" w:cs="Arial"/>
        </w:rPr>
        <w:t xml:space="preserve">oggi </w:t>
      </w:r>
      <w:r w:rsidR="004D40F1">
        <w:rPr>
          <w:rFonts w:ascii="Palatino" w:hAnsi="Palatino" w:cs="Arial"/>
        </w:rPr>
        <w:t>non tabellate e ciò nondimé</w:t>
      </w:r>
      <w:r w:rsidR="00B35101" w:rsidRPr="00042E29">
        <w:rPr>
          <w:rFonts w:ascii="Palatino" w:hAnsi="Palatino" w:cs="Arial"/>
        </w:rPr>
        <w:t>no di notevole impatto nella prassi risarcitoria delle Corti.</w:t>
      </w:r>
    </w:p>
    <w:p w:rsidR="00053DA0" w:rsidRPr="00042E29" w:rsidRDefault="00B860C6" w:rsidP="00C76C1C">
      <w:pPr>
        <w:jc w:val="both"/>
        <w:rPr>
          <w:rFonts w:ascii="Palatino" w:hAnsi="Palatino" w:cs="Arial"/>
        </w:rPr>
      </w:pPr>
      <w:r w:rsidRPr="00042E29">
        <w:rPr>
          <w:rFonts w:ascii="Palatino" w:hAnsi="Palatino" w:cs="Arial"/>
        </w:rPr>
        <w:t>Tra queste assume indiscussa rilevanza quella dei così detti “danni terminali”,</w:t>
      </w:r>
      <w:r w:rsidR="007A03DE" w:rsidRPr="00042E29">
        <w:rPr>
          <w:rFonts w:ascii="Palatino" w:hAnsi="Palatino" w:cs="Arial"/>
        </w:rPr>
        <w:t xml:space="preserve"> di fonte giurisprudenziale e cristalliz</w:t>
      </w:r>
      <w:r w:rsidR="00076FA1" w:rsidRPr="00042E29">
        <w:rPr>
          <w:rFonts w:ascii="Palatino" w:hAnsi="Palatino" w:cs="Arial"/>
        </w:rPr>
        <w:t>z</w:t>
      </w:r>
      <w:r w:rsidR="007A03DE" w:rsidRPr="00042E29">
        <w:rPr>
          <w:rFonts w:ascii="Palatino" w:hAnsi="Palatino" w:cs="Arial"/>
        </w:rPr>
        <w:t>ati</w:t>
      </w:r>
      <w:r w:rsidR="001F6E8B" w:rsidRPr="00042E29">
        <w:rPr>
          <w:rFonts w:ascii="Palatino" w:hAnsi="Palatino" w:cs="Arial"/>
        </w:rPr>
        <w:t xml:space="preserve"> dalla </w:t>
      </w:r>
      <w:r w:rsidRPr="00042E29">
        <w:rPr>
          <w:rFonts w:ascii="Palatino" w:hAnsi="Palatino" w:cs="Arial"/>
        </w:rPr>
        <w:t xml:space="preserve">Suprema Corte </w:t>
      </w:r>
      <w:r w:rsidR="00A8502B" w:rsidRPr="00042E29">
        <w:rPr>
          <w:rFonts w:ascii="Palatino" w:hAnsi="Palatino" w:cs="Arial"/>
        </w:rPr>
        <w:t>(SS.UU</w:t>
      </w:r>
      <w:r w:rsidR="00324104">
        <w:rPr>
          <w:rFonts w:ascii="Palatino" w:hAnsi="Palatino" w:cs="Arial"/>
        </w:rPr>
        <w:t>. sent. n.</w:t>
      </w:r>
      <w:r w:rsidR="00A8502B" w:rsidRPr="00042E29">
        <w:rPr>
          <w:rFonts w:ascii="Palatino" w:hAnsi="Palatino" w:cs="Arial"/>
        </w:rPr>
        <w:t xml:space="preserve"> 15350/2015)  </w:t>
      </w:r>
      <w:r w:rsidR="001F6E8B" w:rsidRPr="00042E29">
        <w:rPr>
          <w:rFonts w:ascii="Palatino" w:hAnsi="Palatino" w:cs="Arial"/>
        </w:rPr>
        <w:t xml:space="preserve">come </w:t>
      </w:r>
      <w:r w:rsidRPr="00042E29">
        <w:rPr>
          <w:rFonts w:ascii="Palatino" w:hAnsi="Palatino" w:cs="Arial"/>
        </w:rPr>
        <w:t xml:space="preserve">le sole poste di danno liquidabili </w:t>
      </w:r>
      <w:r w:rsidRPr="00042E29">
        <w:rPr>
          <w:rFonts w:ascii="Palatino" w:hAnsi="Palatino" w:cs="Arial"/>
          <w:i/>
        </w:rPr>
        <w:t xml:space="preserve">iure proprio </w:t>
      </w:r>
      <w:r w:rsidR="00053DA0" w:rsidRPr="00042E29">
        <w:rPr>
          <w:rFonts w:ascii="Palatino" w:hAnsi="Palatino" w:cs="Arial"/>
        </w:rPr>
        <w:t>alla vittima di lesioni mortali, a condizione che il decesso non sia immediato ma avvenga dopo un apprezzabile lasso di tempo dalle lesioni.</w:t>
      </w:r>
    </w:p>
    <w:p w:rsidR="001B727A" w:rsidRPr="00042E29" w:rsidRDefault="007A03DE" w:rsidP="007A03DE">
      <w:pPr>
        <w:jc w:val="both"/>
        <w:rPr>
          <w:rFonts w:ascii="Palatino" w:hAnsi="Palatino" w:cs="Arial"/>
        </w:rPr>
      </w:pPr>
      <w:r w:rsidRPr="00042E29">
        <w:rPr>
          <w:rFonts w:ascii="Palatino" w:hAnsi="Palatino" w:cs="Arial"/>
        </w:rPr>
        <w:t xml:space="preserve">Tale categoria di danno ha conosciuto più di un’incertezza sul piano definitorio, venendo talvolta inquadrata come danno biologico terminale o come danno catastrofale a matrice morale, senza che, secondo quanto osservato dalle Sezioni Unite, a tali </w:t>
      </w:r>
      <w:r w:rsidR="00BE7A84" w:rsidRPr="00042E29">
        <w:rPr>
          <w:rFonts w:ascii="Palatino" w:hAnsi="Palatino" w:cs="Arial"/>
        </w:rPr>
        <w:t xml:space="preserve">categorizzazioni </w:t>
      </w:r>
      <w:r w:rsidRPr="00042E29">
        <w:rPr>
          <w:rFonts w:ascii="Palatino" w:hAnsi="Palatino" w:cs="Arial"/>
        </w:rPr>
        <w:t xml:space="preserve">corrispondessero autentiche differenze sostanziali </w:t>
      </w:r>
      <w:r w:rsidR="00BE7A84" w:rsidRPr="00042E29">
        <w:rPr>
          <w:rFonts w:ascii="Palatino" w:hAnsi="Palatino" w:cs="Arial"/>
        </w:rPr>
        <w:t>o “</w:t>
      </w:r>
      <w:r w:rsidRPr="00042E29">
        <w:rPr>
          <w:rFonts w:ascii="Palatino" w:hAnsi="Palatino"/>
          <w:i/>
        </w:rPr>
        <w:t>differenze rilevanti sul piano concreto della liquidazione dei danni</w:t>
      </w:r>
      <w:r w:rsidR="00BE7A84" w:rsidRPr="00042E29">
        <w:rPr>
          <w:rFonts w:ascii="Palatino" w:hAnsi="Palatino"/>
          <w:i/>
        </w:rPr>
        <w:t>”.</w:t>
      </w:r>
    </w:p>
    <w:p w:rsidR="00D33EC1" w:rsidRPr="00042E29" w:rsidRDefault="00BE7A84" w:rsidP="007A03DE">
      <w:pPr>
        <w:jc w:val="both"/>
        <w:rPr>
          <w:rFonts w:ascii="Palatino" w:hAnsi="Palatino" w:cs="Arial"/>
        </w:rPr>
      </w:pPr>
      <w:r w:rsidRPr="00042E29">
        <w:rPr>
          <w:rFonts w:ascii="Palatino" w:hAnsi="Palatino" w:cs="Arial"/>
        </w:rPr>
        <w:t>In realtà, il vero punto critico,</w:t>
      </w:r>
      <w:r w:rsidR="00D33EC1" w:rsidRPr="00042E29">
        <w:rPr>
          <w:rFonts w:ascii="Palatino" w:hAnsi="Palatino" w:cs="Arial"/>
        </w:rPr>
        <w:t xml:space="preserve"> è stato ravvisato, anche da autorevole dottrina, nella assoluta anarchia liquidativa che - registrata nelle corti di merito – ha condotto a risarcimenti inaccettabilmente disomogenei, pur a fronte di situazioni analoghe sul piano fattuale.</w:t>
      </w:r>
    </w:p>
    <w:p w:rsidR="00D33EC1" w:rsidRPr="00042E29" w:rsidRDefault="00D33EC1" w:rsidP="007A03DE">
      <w:pPr>
        <w:jc w:val="both"/>
        <w:rPr>
          <w:rFonts w:ascii="Palatino" w:hAnsi="Palatino" w:cs="Arial"/>
        </w:rPr>
      </w:pPr>
      <w:r w:rsidRPr="00042E29">
        <w:rPr>
          <w:rFonts w:ascii="Palatino" w:hAnsi="Palatino" w:cs="Arial"/>
        </w:rPr>
        <w:t xml:space="preserve">Di qui l’opportunità caldeggiata dall’Osservatorio di indagare il tema e di verificare se sia possibile elaborare un metodo tabellare e convenzionale che, allineandosi agli obiettivi ed alla </w:t>
      </w:r>
      <w:r w:rsidRPr="00042E29">
        <w:rPr>
          <w:rFonts w:ascii="Palatino" w:hAnsi="Palatino" w:cs="Arial"/>
          <w:i/>
        </w:rPr>
        <w:t>ratio</w:t>
      </w:r>
      <w:r w:rsidRPr="00042E29">
        <w:rPr>
          <w:rFonts w:ascii="Palatino" w:hAnsi="Palatino" w:cs="Arial"/>
        </w:rPr>
        <w:t xml:space="preserve"> della Tabella milanese, possa fungere da criterio guida al quale ispirare le future liquidazioni</w:t>
      </w:r>
      <w:r w:rsidR="000B1976" w:rsidRPr="00042E29">
        <w:rPr>
          <w:rFonts w:ascii="Palatino" w:hAnsi="Palatino" w:cs="Arial"/>
        </w:rPr>
        <w:t>, in ossequio ad un principio di ragionevole omoge</w:t>
      </w:r>
      <w:r w:rsidR="00364CC6" w:rsidRPr="00042E29">
        <w:rPr>
          <w:rFonts w:ascii="Palatino" w:hAnsi="Palatino" w:cs="Arial"/>
        </w:rPr>
        <w:t>neità</w:t>
      </w:r>
      <w:r w:rsidRPr="00042E29">
        <w:rPr>
          <w:rFonts w:ascii="Palatino" w:hAnsi="Palatino" w:cs="Arial"/>
        </w:rPr>
        <w:t>.</w:t>
      </w:r>
    </w:p>
    <w:p w:rsidR="002C7754" w:rsidRPr="00042E29" w:rsidRDefault="000B1976" w:rsidP="002C7754">
      <w:pPr>
        <w:jc w:val="both"/>
        <w:rPr>
          <w:rFonts w:ascii="Palatino" w:hAnsi="Palatino" w:cs="Arial"/>
        </w:rPr>
      </w:pPr>
      <w:r w:rsidRPr="00042E29">
        <w:rPr>
          <w:rFonts w:ascii="Palatino" w:hAnsi="Palatino" w:cs="Arial"/>
        </w:rPr>
        <w:t>In questo contesto</w:t>
      </w:r>
      <w:r w:rsidR="002C7754" w:rsidRPr="00042E29">
        <w:rPr>
          <w:rFonts w:ascii="Palatino" w:hAnsi="Palatino" w:cs="Arial"/>
        </w:rPr>
        <w:t xml:space="preserve"> è stato istituito un apposito Gruppo di lavoro il quale, a seguito di diverse riunioni cui hanno partecipato magistrati del Tribunale di Milano</w:t>
      </w:r>
      <w:r w:rsidR="00D00EBC" w:rsidRPr="00042E29">
        <w:rPr>
          <w:rFonts w:ascii="Palatino" w:hAnsi="Palatino" w:cs="Arial"/>
        </w:rPr>
        <w:t>, medici legali</w:t>
      </w:r>
      <w:r w:rsidR="002C7754" w:rsidRPr="00042E29">
        <w:rPr>
          <w:rFonts w:ascii="Palatino" w:hAnsi="Palatino" w:cs="Arial"/>
        </w:rPr>
        <w:t xml:space="preserve"> </w:t>
      </w:r>
      <w:r w:rsidR="00D00EBC" w:rsidRPr="00042E29">
        <w:rPr>
          <w:rFonts w:ascii="Palatino" w:hAnsi="Palatino" w:cs="Arial"/>
        </w:rPr>
        <w:t xml:space="preserve">e </w:t>
      </w:r>
      <w:r w:rsidR="002C7754" w:rsidRPr="00042E29">
        <w:rPr>
          <w:rFonts w:ascii="Palatino" w:hAnsi="Palatino" w:cs="Arial"/>
        </w:rPr>
        <w:t xml:space="preserve">numerosi avvocati, ha ritenuto di poter elaborare una </w:t>
      </w:r>
      <w:r w:rsidR="002C7754" w:rsidRPr="00042E29">
        <w:rPr>
          <w:rFonts w:ascii="Palatino" w:hAnsi="Palatino" w:cs="Arial"/>
          <w:b/>
        </w:rPr>
        <w:t>proposta</w:t>
      </w:r>
      <w:r w:rsidR="002C7754" w:rsidRPr="00042E29">
        <w:rPr>
          <w:rFonts w:ascii="Palatino" w:hAnsi="Palatino" w:cs="Arial"/>
        </w:rPr>
        <w:t xml:space="preserve"> di tabellazione del danno terminale, imbastita sui principi</w:t>
      </w:r>
      <w:r w:rsidR="00495065" w:rsidRPr="00042E29">
        <w:rPr>
          <w:rFonts w:ascii="Palatino" w:hAnsi="Palatino" w:cs="Arial"/>
        </w:rPr>
        <w:t>/criteri</w:t>
      </w:r>
      <w:r w:rsidR="002C7754" w:rsidRPr="00042E29">
        <w:rPr>
          <w:rFonts w:ascii="Palatino" w:hAnsi="Palatino" w:cs="Arial"/>
        </w:rPr>
        <w:t xml:space="preserve"> che vengono qui di seguito illustrati:</w:t>
      </w:r>
    </w:p>
    <w:p w:rsidR="002C7754" w:rsidRPr="00042E29" w:rsidRDefault="002C7754" w:rsidP="002C7754">
      <w:pPr>
        <w:jc w:val="both"/>
        <w:rPr>
          <w:rFonts w:ascii="Palatino" w:hAnsi="Palatino" w:cs="Arial"/>
        </w:rPr>
      </w:pPr>
    </w:p>
    <w:p w:rsidR="009E584E" w:rsidRPr="00042E29" w:rsidRDefault="003A65F1" w:rsidP="009E584E">
      <w:pPr>
        <w:pStyle w:val="Paragrafoelenco"/>
        <w:numPr>
          <w:ilvl w:val="0"/>
          <w:numId w:val="9"/>
        </w:numPr>
        <w:jc w:val="both"/>
        <w:rPr>
          <w:rFonts w:ascii="Palatino" w:hAnsi="Palatino" w:cs="Arial"/>
        </w:rPr>
      </w:pPr>
      <w:r w:rsidRPr="00042E29">
        <w:rPr>
          <w:rFonts w:ascii="Palatino" w:hAnsi="Palatino" w:cs="Arial"/>
          <w:b/>
        </w:rPr>
        <w:t>Principio di unitarietà</w:t>
      </w:r>
      <w:r w:rsidR="001201BC" w:rsidRPr="00042E29">
        <w:rPr>
          <w:rFonts w:ascii="Palatino" w:hAnsi="Palatino" w:cs="Arial"/>
          <w:b/>
        </w:rPr>
        <w:t xml:space="preserve"> ed omnicomp</w:t>
      </w:r>
      <w:r w:rsidR="00495065" w:rsidRPr="00042E29">
        <w:rPr>
          <w:rFonts w:ascii="Palatino" w:hAnsi="Palatino" w:cs="Arial"/>
          <w:b/>
        </w:rPr>
        <w:t>r</w:t>
      </w:r>
      <w:r w:rsidR="001201BC" w:rsidRPr="00042E29">
        <w:rPr>
          <w:rFonts w:ascii="Palatino" w:hAnsi="Palatino" w:cs="Arial"/>
          <w:b/>
        </w:rPr>
        <w:t>ensività</w:t>
      </w:r>
      <w:r w:rsidRPr="00042E29">
        <w:rPr>
          <w:rFonts w:ascii="Palatino" w:hAnsi="Palatino" w:cs="Arial"/>
          <w:b/>
        </w:rPr>
        <w:t xml:space="preserve">: </w:t>
      </w:r>
      <w:r w:rsidR="001201BC" w:rsidRPr="00042E29">
        <w:rPr>
          <w:rFonts w:ascii="Palatino" w:hAnsi="Palatino" w:cs="Arial"/>
        </w:rPr>
        <w:t>tenendo conto dell’insegnamento delle Sezioni Unite (sente</w:t>
      </w:r>
      <w:r w:rsidR="00076FA1" w:rsidRPr="00042E29">
        <w:rPr>
          <w:rFonts w:ascii="Palatino" w:hAnsi="Palatino" w:cs="Arial"/>
        </w:rPr>
        <w:t>n</w:t>
      </w:r>
      <w:r w:rsidR="001201BC" w:rsidRPr="00042E29">
        <w:rPr>
          <w:rFonts w:ascii="Palatino" w:hAnsi="Palatino" w:cs="Arial"/>
        </w:rPr>
        <w:t xml:space="preserve">ze gemelle </w:t>
      </w:r>
      <w:r w:rsidR="00076FA1" w:rsidRPr="00042E29">
        <w:rPr>
          <w:rFonts w:ascii="Palatino" w:hAnsi="Palatino" w:cs="Arial"/>
        </w:rPr>
        <w:t xml:space="preserve">SS.UU. </w:t>
      </w:r>
      <w:r w:rsidR="00324104">
        <w:rPr>
          <w:rFonts w:ascii="Palatino" w:hAnsi="Palatino" w:cs="Arial"/>
        </w:rPr>
        <w:t>nn. 26972-3-4-5 dell’11.11.2008,</w:t>
      </w:r>
      <w:r w:rsidR="00076FA1" w:rsidRPr="00042E29">
        <w:rPr>
          <w:rFonts w:ascii="Palatino" w:hAnsi="Palatino" w:cs="Arial"/>
        </w:rPr>
        <w:t xml:space="preserve"> oltre alla citata </w:t>
      </w:r>
      <w:r w:rsidR="001201BC" w:rsidRPr="00042E29">
        <w:rPr>
          <w:rFonts w:ascii="Palatino" w:hAnsi="Palatino" w:cs="Arial"/>
        </w:rPr>
        <w:t>n. 15350</w:t>
      </w:r>
      <w:r w:rsidR="00076FA1" w:rsidRPr="00042E29">
        <w:rPr>
          <w:rFonts w:ascii="Palatino" w:hAnsi="Palatino" w:cs="Arial"/>
        </w:rPr>
        <w:t xml:space="preserve">/2015) si è ritenuto </w:t>
      </w:r>
      <w:r w:rsidR="00E65F4B" w:rsidRPr="00042E29">
        <w:rPr>
          <w:rFonts w:ascii="Palatino" w:hAnsi="Palatino" w:cs="Arial"/>
        </w:rPr>
        <w:t xml:space="preserve">di proporre una definizione omnicomprensiva del </w:t>
      </w:r>
      <w:r w:rsidR="00076FA1" w:rsidRPr="00042E29">
        <w:rPr>
          <w:rFonts w:ascii="Palatino" w:hAnsi="Palatino" w:cs="Arial"/>
          <w:b/>
        </w:rPr>
        <w:t>“</w:t>
      </w:r>
      <w:r w:rsidR="00E65F4B" w:rsidRPr="00042E29">
        <w:rPr>
          <w:rFonts w:ascii="Palatino" w:hAnsi="Palatino" w:cs="Arial"/>
          <w:b/>
        </w:rPr>
        <w:t>danno terminale</w:t>
      </w:r>
      <w:r w:rsidR="00076FA1" w:rsidRPr="00042E29">
        <w:rPr>
          <w:rFonts w:ascii="Palatino" w:hAnsi="Palatino" w:cs="Arial"/>
          <w:b/>
        </w:rPr>
        <w:t>”</w:t>
      </w:r>
      <w:r w:rsidR="00E65F4B" w:rsidRPr="00042E29">
        <w:rPr>
          <w:rFonts w:ascii="Palatino" w:hAnsi="Palatino" w:cs="Arial"/>
        </w:rPr>
        <w:t xml:space="preserve">, tale da ricomprendere al suo interno ogni aspetto biologico e sofferenziale connesso alla percezione della morte imminente. Onde evitare il pericolo di duplicazione di medesime poste di pregiudizio, la categoria del danno terminale deve intendersi dunque comprensiva dei pregiudizi altrove definiti come </w:t>
      </w:r>
      <w:r w:rsidR="00E65F4B" w:rsidRPr="00042E29">
        <w:rPr>
          <w:rFonts w:ascii="Palatino" w:hAnsi="Palatino" w:cs="Arial"/>
          <w:i/>
        </w:rPr>
        <w:t>danno biologico terminale</w:t>
      </w:r>
      <w:r w:rsidR="00E65F4B" w:rsidRPr="00042E29">
        <w:rPr>
          <w:rFonts w:ascii="Palatino" w:hAnsi="Palatino" w:cs="Arial"/>
        </w:rPr>
        <w:t xml:space="preserve">, da </w:t>
      </w:r>
      <w:r w:rsidR="00E65F4B" w:rsidRPr="00042E29">
        <w:rPr>
          <w:rFonts w:ascii="Palatino" w:hAnsi="Palatino" w:cs="Arial"/>
          <w:i/>
        </w:rPr>
        <w:t>lucida agonia</w:t>
      </w:r>
      <w:r w:rsidR="00E65F4B" w:rsidRPr="00042E29">
        <w:rPr>
          <w:rFonts w:ascii="Palatino" w:hAnsi="Palatino" w:cs="Arial"/>
        </w:rPr>
        <w:t xml:space="preserve"> o </w:t>
      </w:r>
      <w:r w:rsidR="00E65F4B" w:rsidRPr="00042E29">
        <w:rPr>
          <w:rFonts w:ascii="Palatino" w:hAnsi="Palatino" w:cs="Arial"/>
          <w:i/>
        </w:rPr>
        <w:t>morale catastrofale</w:t>
      </w:r>
      <w:r w:rsidR="00E65F4B" w:rsidRPr="00042E29">
        <w:rPr>
          <w:rFonts w:ascii="Palatino" w:hAnsi="Palatino" w:cs="Arial"/>
        </w:rPr>
        <w:t xml:space="preserve">. Non solo: la liquidazione del danno terminale, proprio in quanto comprensiva di ogni voce di pregiudizio non patrimoniale patita in quel lasso di </w:t>
      </w:r>
      <w:r w:rsidR="00E65F4B" w:rsidRPr="00042E29">
        <w:rPr>
          <w:rFonts w:ascii="Palatino" w:hAnsi="Palatino" w:cs="Arial"/>
        </w:rPr>
        <w:lastRenderedPageBreak/>
        <w:t xml:space="preserve">tempo, esclude la </w:t>
      </w:r>
      <w:r w:rsidR="008554FA" w:rsidRPr="00042E29">
        <w:rPr>
          <w:rFonts w:ascii="Palatino" w:hAnsi="Palatino" w:cs="Arial"/>
        </w:rPr>
        <w:t xml:space="preserve">separata </w:t>
      </w:r>
      <w:r w:rsidR="00E65F4B" w:rsidRPr="00042E29">
        <w:rPr>
          <w:rFonts w:ascii="Palatino" w:hAnsi="Palatino" w:cs="Arial"/>
        </w:rPr>
        <w:t>liquidazione</w:t>
      </w:r>
      <w:r w:rsidR="008554FA" w:rsidRPr="00042E29">
        <w:rPr>
          <w:rFonts w:ascii="Palatino" w:hAnsi="Palatino" w:cs="Arial"/>
        </w:rPr>
        <w:t xml:space="preserve"> del danno biologico temporaneo “ordinario”, da intendersi quindi assorbita.</w:t>
      </w:r>
    </w:p>
    <w:p w:rsidR="00B93BCF" w:rsidRPr="00042E29" w:rsidRDefault="00B93BCF" w:rsidP="00B93BCF">
      <w:pPr>
        <w:pStyle w:val="Paragrafoelenco"/>
        <w:jc w:val="both"/>
        <w:rPr>
          <w:rFonts w:ascii="Palatino" w:hAnsi="Palatino" w:cs="Arial"/>
        </w:rPr>
      </w:pPr>
    </w:p>
    <w:p w:rsidR="009E584E" w:rsidRPr="00042E29" w:rsidRDefault="00495065" w:rsidP="009E584E">
      <w:pPr>
        <w:pStyle w:val="Paragrafoelenco"/>
        <w:numPr>
          <w:ilvl w:val="0"/>
          <w:numId w:val="9"/>
        </w:numPr>
        <w:jc w:val="both"/>
        <w:rPr>
          <w:rFonts w:ascii="Palatino" w:hAnsi="Palatino" w:cs="Arial"/>
        </w:rPr>
      </w:pPr>
      <w:r w:rsidRPr="00042E29">
        <w:rPr>
          <w:rFonts w:ascii="Palatino" w:hAnsi="Palatino" w:cs="Arial"/>
          <w:b/>
        </w:rPr>
        <w:t>Durata limitata:</w:t>
      </w:r>
      <w:r w:rsidRPr="00042E29">
        <w:rPr>
          <w:rFonts w:ascii="Palatino" w:hAnsi="Palatino" w:cs="Arial"/>
        </w:rPr>
        <w:t xml:space="preserve"> la stessa definizione (terminale) esc</w:t>
      </w:r>
      <w:r w:rsidR="003F5BE9">
        <w:rPr>
          <w:rFonts w:ascii="Palatino" w:hAnsi="Palatino" w:cs="Arial"/>
        </w:rPr>
        <w:t>lude che il danno possa protrarsi</w:t>
      </w:r>
      <w:r w:rsidRPr="00042E29">
        <w:rPr>
          <w:rFonts w:ascii="Palatino" w:hAnsi="Palatino" w:cs="Arial"/>
        </w:rPr>
        <w:t xml:space="preserve"> per un tempo esteso</w:t>
      </w:r>
      <w:r w:rsidR="008225DE" w:rsidRPr="00042E29">
        <w:rPr>
          <w:rFonts w:ascii="Palatino" w:hAnsi="Palatino" w:cs="Arial"/>
        </w:rPr>
        <w:t xml:space="preserve">. Pur nella difficoltà di tipizzazione delle possibili variabili, si suggerisce l’individuazione di un numero massimo di giorni (allo stato individuato, convenzionalmente, in 100) al di là del quale il danno </w:t>
      </w:r>
      <w:r w:rsidR="006C7309" w:rsidRPr="00042E29">
        <w:rPr>
          <w:rFonts w:ascii="Palatino" w:hAnsi="Palatino" w:cs="Arial"/>
        </w:rPr>
        <w:t xml:space="preserve">terminale non può prolungarsi, </w:t>
      </w:r>
      <w:r w:rsidR="008225DE" w:rsidRPr="00042E29">
        <w:rPr>
          <w:rFonts w:ascii="Palatino" w:hAnsi="Palatino" w:cs="Arial"/>
        </w:rPr>
        <w:t xml:space="preserve"> torna</w:t>
      </w:r>
      <w:r w:rsidR="006C7309" w:rsidRPr="00042E29">
        <w:rPr>
          <w:rFonts w:ascii="Palatino" w:hAnsi="Palatino" w:cs="Arial"/>
        </w:rPr>
        <w:t>ndo</w:t>
      </w:r>
      <w:r w:rsidR="008225DE" w:rsidRPr="00042E29">
        <w:rPr>
          <w:rFonts w:ascii="Palatino" w:hAnsi="Palatino" w:cs="Arial"/>
        </w:rPr>
        <w:t xml:space="preserve"> a</w:t>
      </w:r>
      <w:r w:rsidR="006C7309" w:rsidRPr="00042E29">
        <w:rPr>
          <w:rFonts w:ascii="Palatino" w:hAnsi="Palatino" w:cs="Arial"/>
        </w:rPr>
        <w:t>d</w:t>
      </w:r>
      <w:r w:rsidR="008225DE" w:rsidRPr="00042E29">
        <w:rPr>
          <w:rFonts w:ascii="Palatino" w:hAnsi="Palatino" w:cs="Arial"/>
        </w:rPr>
        <w:t xml:space="preserve"> </w:t>
      </w:r>
      <w:r w:rsidR="006C7309" w:rsidRPr="00042E29">
        <w:rPr>
          <w:rFonts w:ascii="Palatino" w:hAnsi="Palatino" w:cs="Arial"/>
        </w:rPr>
        <w:t>esser risarcibile</w:t>
      </w:r>
      <w:r w:rsidR="008225DE" w:rsidRPr="00042E29">
        <w:rPr>
          <w:rFonts w:ascii="Palatino" w:hAnsi="Palatino" w:cs="Arial"/>
        </w:rPr>
        <w:t xml:space="preserve"> </w:t>
      </w:r>
      <w:r w:rsidR="006C7309" w:rsidRPr="00042E29">
        <w:rPr>
          <w:rFonts w:ascii="Palatino" w:hAnsi="Palatino" w:cs="Arial"/>
        </w:rPr>
        <w:t>il</w:t>
      </w:r>
      <w:r w:rsidR="008225DE" w:rsidRPr="00042E29">
        <w:rPr>
          <w:rFonts w:ascii="Palatino" w:hAnsi="Palatino" w:cs="Arial"/>
        </w:rPr>
        <w:t xml:space="preserve"> </w:t>
      </w:r>
      <w:r w:rsidR="006C7309" w:rsidRPr="00042E29">
        <w:rPr>
          <w:rFonts w:ascii="Palatino" w:hAnsi="Palatino" w:cs="Arial"/>
        </w:rPr>
        <w:t xml:space="preserve">solo </w:t>
      </w:r>
      <w:r w:rsidR="008225DE" w:rsidRPr="00042E29">
        <w:rPr>
          <w:rFonts w:ascii="Palatino" w:hAnsi="Palatino" w:cs="Arial"/>
        </w:rPr>
        <w:t xml:space="preserve">danno biologico temporaneo ordinario. </w:t>
      </w:r>
      <w:r w:rsidR="006C7309" w:rsidRPr="00042E29">
        <w:rPr>
          <w:rFonts w:ascii="Palatino" w:hAnsi="Palatino" w:cs="Arial"/>
        </w:rPr>
        <w:t xml:space="preserve">Tale indicazione non pare sconveniente, anche in considerazione del </w:t>
      </w:r>
      <w:r w:rsidR="00364CC6" w:rsidRPr="00042E29">
        <w:rPr>
          <w:rFonts w:ascii="Palatino" w:hAnsi="Palatino" w:cs="Arial"/>
        </w:rPr>
        <w:t xml:space="preserve">fatto che nella </w:t>
      </w:r>
      <w:r w:rsidR="008225DE" w:rsidRPr="00042E29">
        <w:rPr>
          <w:rFonts w:ascii="Palatino" w:hAnsi="Palatino" w:cs="Arial"/>
        </w:rPr>
        <w:t>maggior parte dei casi</w:t>
      </w:r>
      <w:r w:rsidR="006C7309" w:rsidRPr="00042E29">
        <w:rPr>
          <w:rFonts w:ascii="Palatino" w:hAnsi="Palatino" w:cs="Arial"/>
        </w:rPr>
        <w:t xml:space="preserve"> trattati dalle Corti i </w:t>
      </w:r>
      <w:r w:rsidR="008225DE" w:rsidRPr="00042E29">
        <w:rPr>
          <w:rFonts w:ascii="Palatino" w:hAnsi="Palatino" w:cs="Arial"/>
        </w:rPr>
        <w:t xml:space="preserve">danni </w:t>
      </w:r>
      <w:r w:rsidR="006C7309" w:rsidRPr="00042E29">
        <w:rPr>
          <w:rFonts w:ascii="Palatino" w:hAnsi="Palatino" w:cs="Arial"/>
        </w:rPr>
        <w:t xml:space="preserve">risulterebbero </w:t>
      </w:r>
      <w:r w:rsidR="00364CC6" w:rsidRPr="00042E29">
        <w:rPr>
          <w:rFonts w:ascii="Palatino" w:hAnsi="Palatino" w:cs="Arial"/>
        </w:rPr>
        <w:t xml:space="preserve">contenuti in pochi giorni. </w:t>
      </w:r>
      <w:r w:rsidR="003A1CC3" w:rsidRPr="00042E29">
        <w:rPr>
          <w:rFonts w:ascii="Palatino" w:hAnsi="Palatino" w:cs="Arial"/>
        </w:rPr>
        <w:t xml:space="preserve">Posto il limite massimo, si osserva come di danno terminale non possa parlarsi, secondo gli insegnamenti della Cassazione, se la morte sia stata immediata o sia avvenuta a brevissima distanza di tempo. Occorre dunque che tra lesioni e decesso intercorra comunque un lasso </w:t>
      </w:r>
      <w:r w:rsidR="006E5E2B" w:rsidRPr="00042E29">
        <w:rPr>
          <w:rFonts w:ascii="Palatino" w:hAnsi="Palatino" w:cs="Arial"/>
        </w:rPr>
        <w:t>temporale</w:t>
      </w:r>
      <w:r w:rsidR="003A1CC3" w:rsidRPr="00042E29">
        <w:rPr>
          <w:rFonts w:ascii="Palatino" w:hAnsi="Palatino" w:cs="Arial"/>
        </w:rPr>
        <w:t xml:space="preserve"> minimo – non convenzionalmente individuabile – ma comunque apprezzabile e tale da consentire la prova </w:t>
      </w:r>
      <w:r w:rsidR="00364CC6" w:rsidRPr="00042E29">
        <w:rPr>
          <w:rFonts w:ascii="Palatino" w:hAnsi="Palatino" w:cs="Arial"/>
        </w:rPr>
        <w:t xml:space="preserve">di una </w:t>
      </w:r>
      <w:r w:rsidR="00D0171D" w:rsidRPr="00042E29">
        <w:rPr>
          <w:rFonts w:ascii="Palatino" w:hAnsi="Palatino" w:cs="Arial"/>
        </w:rPr>
        <w:t>sofferenza psicologica (</w:t>
      </w:r>
      <w:r w:rsidR="003A1CC3" w:rsidRPr="00042E29">
        <w:rPr>
          <w:rFonts w:ascii="Palatino" w:hAnsi="Palatino" w:cs="Arial"/>
        </w:rPr>
        <w:t>non istantanea</w:t>
      </w:r>
      <w:r w:rsidR="00D0171D" w:rsidRPr="00042E29">
        <w:rPr>
          <w:rFonts w:ascii="Palatino" w:hAnsi="Palatino" w:cs="Arial"/>
        </w:rPr>
        <w:t xml:space="preserve"> né immediatamente consumatasi)</w:t>
      </w:r>
      <w:r w:rsidR="009E584E" w:rsidRPr="00042E29">
        <w:rPr>
          <w:rFonts w:ascii="Palatino" w:hAnsi="Palatino" w:cs="Arial"/>
        </w:rPr>
        <w:t xml:space="preserve">. Esperti medici legali hanno del resto sostenuto la necessaria sussistenza di un </w:t>
      </w:r>
      <w:r w:rsidR="00D14862">
        <w:rPr>
          <w:rFonts w:ascii="Palatino" w:hAnsi="Palatino" w:cs="Arial"/>
        </w:rPr>
        <w:t>minimo decorso di tempo</w:t>
      </w:r>
      <w:r w:rsidR="009E584E" w:rsidRPr="00042E29">
        <w:rPr>
          <w:rFonts w:ascii="Palatino" w:hAnsi="Palatino" w:cs="Arial"/>
        </w:rPr>
        <w:t xml:space="preserve"> apprezzabile affinché la coscienza elabori e rappresenti il rischio di morte.</w:t>
      </w:r>
    </w:p>
    <w:p w:rsidR="003A1CC3" w:rsidRPr="00042E29" w:rsidRDefault="003A1CC3" w:rsidP="00D2620F">
      <w:pPr>
        <w:pStyle w:val="Paragrafoelenco"/>
        <w:jc w:val="both"/>
        <w:rPr>
          <w:rFonts w:ascii="Palatino" w:hAnsi="Palatino" w:cs="Arial"/>
        </w:rPr>
      </w:pPr>
    </w:p>
    <w:p w:rsidR="00422A86" w:rsidRPr="00042E29" w:rsidRDefault="003A1CC3" w:rsidP="003A1CC3">
      <w:pPr>
        <w:pStyle w:val="Paragrafoelenco"/>
        <w:numPr>
          <w:ilvl w:val="0"/>
          <w:numId w:val="9"/>
        </w:numPr>
        <w:jc w:val="both"/>
        <w:rPr>
          <w:rFonts w:ascii="Palatino" w:hAnsi="Palatino" w:cs="Arial"/>
        </w:rPr>
      </w:pPr>
      <w:r w:rsidRPr="00042E29">
        <w:rPr>
          <w:rFonts w:ascii="Palatino" w:hAnsi="Palatino" w:cs="Arial"/>
          <w:b/>
        </w:rPr>
        <w:t>Coscienza</w:t>
      </w:r>
      <w:r w:rsidRPr="00042E29">
        <w:rPr>
          <w:rFonts w:ascii="Palatino" w:hAnsi="Palatino" w:cs="Arial"/>
        </w:rPr>
        <w:t xml:space="preserve">: in nessun caso si tratta di danno </w:t>
      </w:r>
      <w:r w:rsidRPr="00042E29">
        <w:rPr>
          <w:rFonts w:ascii="Palatino" w:hAnsi="Palatino" w:cs="Arial"/>
          <w:i/>
        </w:rPr>
        <w:t>in re ipsa</w:t>
      </w:r>
      <w:r w:rsidR="00CE5A89" w:rsidRPr="00042E29">
        <w:rPr>
          <w:rFonts w:ascii="Palatino" w:hAnsi="Palatino" w:cs="Arial"/>
        </w:rPr>
        <w:t>, o</w:t>
      </w:r>
      <w:r w:rsidRPr="00042E29">
        <w:rPr>
          <w:rFonts w:ascii="Palatino" w:hAnsi="Palatino" w:cs="Arial"/>
        </w:rPr>
        <w:t>ccorre</w:t>
      </w:r>
      <w:r w:rsidR="00CE5A89" w:rsidRPr="00042E29">
        <w:rPr>
          <w:rFonts w:ascii="Palatino" w:hAnsi="Palatino" w:cs="Arial"/>
        </w:rPr>
        <w:t>ndo</w:t>
      </w:r>
      <w:r w:rsidR="00C212C2" w:rsidRPr="00042E29">
        <w:rPr>
          <w:rFonts w:ascii="Palatino" w:hAnsi="Palatino" w:cs="Arial"/>
        </w:rPr>
        <w:t xml:space="preserve"> la</w:t>
      </w:r>
      <w:r w:rsidRPr="00042E29">
        <w:rPr>
          <w:rFonts w:ascii="Palatino" w:hAnsi="Palatino" w:cs="Arial"/>
        </w:rPr>
        <w:t xml:space="preserve"> comprovata percezione della fine imminente</w:t>
      </w:r>
      <w:r w:rsidR="00CE5A89" w:rsidRPr="00042E29">
        <w:rPr>
          <w:rFonts w:ascii="Palatino" w:hAnsi="Palatino" w:cs="Arial"/>
        </w:rPr>
        <w:t xml:space="preserve">. </w:t>
      </w:r>
      <w:r w:rsidRPr="00042E29">
        <w:rPr>
          <w:rFonts w:ascii="Palatino" w:hAnsi="Palatino" w:cs="Arial"/>
        </w:rPr>
        <w:t>La consapevolezza della fine vita da parte della vittima è, dunque, un presupposto necessario affinché possa esservi il risarcimento del d</w:t>
      </w:r>
      <w:r w:rsidR="00D2524F" w:rsidRPr="00042E29">
        <w:rPr>
          <w:rFonts w:ascii="Palatino" w:hAnsi="Palatino" w:cs="Arial"/>
        </w:rPr>
        <w:t>anno terminale, che non potrà di</w:t>
      </w:r>
      <w:r w:rsidRPr="00042E29">
        <w:rPr>
          <w:rFonts w:ascii="Palatino" w:hAnsi="Palatino" w:cs="Arial"/>
        </w:rPr>
        <w:t>rsi esist</w:t>
      </w:r>
      <w:r w:rsidR="00422A86" w:rsidRPr="00042E29">
        <w:rPr>
          <w:rFonts w:ascii="Palatino" w:hAnsi="Palatino" w:cs="Arial"/>
        </w:rPr>
        <w:t>ente, ad esempio, nel caso in cui nel tempo intercorso prima del decesso la vittima stessa abbia versato in stato di incoscienza.</w:t>
      </w:r>
    </w:p>
    <w:p w:rsidR="00B93BCF" w:rsidRPr="00042E29" w:rsidRDefault="00B93BCF" w:rsidP="00B93BCF">
      <w:pPr>
        <w:jc w:val="both"/>
        <w:rPr>
          <w:rFonts w:ascii="Palatino" w:hAnsi="Palatino" w:cs="Arial"/>
        </w:rPr>
      </w:pPr>
    </w:p>
    <w:p w:rsidR="003779C9" w:rsidRPr="00042E29" w:rsidRDefault="00180B9B" w:rsidP="003779C9">
      <w:pPr>
        <w:pStyle w:val="Paragrafoelenco"/>
        <w:numPr>
          <w:ilvl w:val="0"/>
          <w:numId w:val="9"/>
        </w:numPr>
        <w:jc w:val="both"/>
        <w:rPr>
          <w:rFonts w:ascii="Palatino" w:hAnsi="Palatino" w:cs="Arial"/>
        </w:rPr>
      </w:pPr>
      <w:r w:rsidRPr="00042E29">
        <w:rPr>
          <w:rFonts w:ascii="Palatino" w:hAnsi="Palatino" w:cs="Arial"/>
          <w:b/>
        </w:rPr>
        <w:t>Intensita’ decrescente</w:t>
      </w:r>
      <w:r w:rsidR="00BF38E5" w:rsidRPr="00042E29">
        <w:rPr>
          <w:rFonts w:ascii="Palatino" w:hAnsi="Palatino" w:cs="Arial"/>
          <w:b/>
        </w:rPr>
        <w:t xml:space="preserve"> e metodo tabellare</w:t>
      </w:r>
      <w:r w:rsidR="00BF38E5" w:rsidRPr="00042E29">
        <w:rPr>
          <w:rFonts w:ascii="Palatino" w:hAnsi="Palatino" w:cs="Arial"/>
        </w:rPr>
        <w:t xml:space="preserve">: </w:t>
      </w:r>
      <w:r w:rsidR="00364CC6" w:rsidRPr="00042E29">
        <w:rPr>
          <w:rFonts w:ascii="Palatino" w:hAnsi="Palatino" w:cs="Arial"/>
        </w:rPr>
        <w:t>p</w:t>
      </w:r>
      <w:r w:rsidR="00D2620F" w:rsidRPr="00042E29">
        <w:rPr>
          <w:rFonts w:ascii="Palatino" w:hAnsi="Palatino" w:cs="Arial"/>
        </w:rPr>
        <w:t xml:space="preserve">ur nella ribadita difficoltà di individuare una “regola” che valga </w:t>
      </w:r>
      <w:r w:rsidR="00BF38E5" w:rsidRPr="00042E29">
        <w:rPr>
          <w:rFonts w:ascii="Palatino" w:hAnsi="Palatino" w:cs="Arial"/>
        </w:rPr>
        <w:t>per</w:t>
      </w:r>
      <w:r w:rsidR="00D2620F" w:rsidRPr="00042E29">
        <w:rPr>
          <w:rFonts w:ascii="Palatino" w:hAnsi="Palatino" w:cs="Arial"/>
        </w:rPr>
        <w:t xml:space="preserve"> tutt</w:t>
      </w:r>
      <w:r w:rsidR="00BF38E5" w:rsidRPr="00042E29">
        <w:rPr>
          <w:rFonts w:ascii="Palatino" w:hAnsi="Palatino" w:cs="Arial"/>
        </w:rPr>
        <w:t>e</w:t>
      </w:r>
      <w:r w:rsidR="00D2620F" w:rsidRPr="00042E29">
        <w:rPr>
          <w:rFonts w:ascii="Palatino" w:hAnsi="Palatino" w:cs="Arial"/>
        </w:rPr>
        <w:t xml:space="preserve"> le variegate fenomenologie di danno terminale, si è ritenuto di porre quale criterio di base la regola, sostenuta dall’esperienza medico legale, secondo la quale </w:t>
      </w:r>
      <w:r w:rsidR="00BF38E5" w:rsidRPr="00042E29">
        <w:rPr>
          <w:rFonts w:ascii="Palatino" w:hAnsi="Palatino" w:cs="Arial"/>
        </w:rPr>
        <w:t xml:space="preserve">il danno tende a decrescere </w:t>
      </w:r>
      <w:r w:rsidR="00D00EBC" w:rsidRPr="00042E29">
        <w:rPr>
          <w:rFonts w:ascii="Palatino" w:hAnsi="Palatino" w:cs="Arial"/>
        </w:rPr>
        <w:t xml:space="preserve">col passare del tempo, </w:t>
      </w:r>
      <w:r w:rsidR="00BF38E5" w:rsidRPr="00042E29">
        <w:rPr>
          <w:rFonts w:ascii="Palatino" w:hAnsi="Palatino" w:cs="Arial"/>
        </w:rPr>
        <w:t>dal momento che</w:t>
      </w:r>
      <w:r w:rsidR="00D00EBC" w:rsidRPr="00042E29">
        <w:rPr>
          <w:rFonts w:ascii="Palatino" w:hAnsi="Palatino" w:cs="Arial"/>
        </w:rPr>
        <w:t xml:space="preserve"> la massima sofferenza è percepita nel periodo immediatamente successivo all’evento lesivo per poi scemare nella fase successiva</w:t>
      </w:r>
      <w:r w:rsidR="00BF38E5" w:rsidRPr="00042E29">
        <w:rPr>
          <w:rFonts w:ascii="Palatino" w:hAnsi="Palatino" w:cs="Arial"/>
        </w:rPr>
        <w:t xml:space="preserve"> (lasciando spazio ad una sorta di “adattamento” </w:t>
      </w:r>
      <w:r w:rsidR="00D00EBC" w:rsidRPr="00042E29">
        <w:rPr>
          <w:rFonts w:ascii="Palatino" w:hAnsi="Palatino" w:cs="Arial"/>
        </w:rPr>
        <w:t xml:space="preserve"> se non, addirittura, </w:t>
      </w:r>
      <w:r w:rsidR="00BF38E5" w:rsidRPr="00042E29">
        <w:rPr>
          <w:rFonts w:ascii="Palatino" w:hAnsi="Palatino" w:cs="Arial"/>
        </w:rPr>
        <w:t>al</w:t>
      </w:r>
      <w:r w:rsidR="00D00EBC" w:rsidRPr="00042E29">
        <w:rPr>
          <w:rFonts w:ascii="Palatino" w:hAnsi="Palatino" w:cs="Arial"/>
        </w:rPr>
        <w:t>la speranza di sopravvivere</w:t>
      </w:r>
      <w:r w:rsidR="00BF38E5" w:rsidRPr="00042E29">
        <w:rPr>
          <w:rFonts w:ascii="Palatino" w:hAnsi="Palatino" w:cs="Arial"/>
        </w:rPr>
        <w:t>)</w:t>
      </w:r>
      <w:r w:rsidR="00D00EBC" w:rsidRPr="00042E29">
        <w:rPr>
          <w:rFonts w:ascii="Palatino" w:hAnsi="Palatino" w:cs="Arial"/>
        </w:rPr>
        <w:t>.</w:t>
      </w:r>
      <w:r w:rsidR="00BF38E5" w:rsidRPr="00042E29">
        <w:rPr>
          <w:rFonts w:ascii="Palatino" w:hAnsi="Palatino" w:cs="Arial"/>
        </w:rPr>
        <w:t xml:space="preserve"> </w:t>
      </w:r>
      <w:r w:rsidR="006258F2" w:rsidRPr="00042E29">
        <w:rPr>
          <w:rFonts w:ascii="Palatino" w:hAnsi="Palatino" w:cs="Arial"/>
        </w:rPr>
        <w:t>Si propone dunque un</w:t>
      </w:r>
      <w:r w:rsidR="00BF38E5" w:rsidRPr="00042E29">
        <w:rPr>
          <w:rFonts w:ascii="Palatino" w:hAnsi="Palatino" w:cs="Arial"/>
        </w:rPr>
        <w:t xml:space="preserve"> metodo tabellare </w:t>
      </w:r>
      <w:r w:rsidR="006258F2" w:rsidRPr="00042E29">
        <w:rPr>
          <w:rFonts w:ascii="Palatino" w:hAnsi="Palatino" w:cs="Arial"/>
        </w:rPr>
        <w:t xml:space="preserve">che assegni </w:t>
      </w:r>
      <w:r w:rsidR="00BF38E5" w:rsidRPr="00042E29">
        <w:rPr>
          <w:rFonts w:ascii="Palatino" w:hAnsi="Palatino" w:cs="Arial"/>
        </w:rPr>
        <w:t>a ciascun giorno di sofferenza, nei limiti del tetto di cento giorni complessivi, un valore progressivamente – e convenzionalmente – decrescente, sino ad agganciarsi, al cent</w:t>
      </w:r>
      <w:r w:rsidR="006258F2" w:rsidRPr="00042E29">
        <w:rPr>
          <w:rFonts w:ascii="Palatino" w:hAnsi="Palatino" w:cs="Arial"/>
        </w:rPr>
        <w:t>e</w:t>
      </w:r>
      <w:r w:rsidR="00BF38E5" w:rsidRPr="00042E29">
        <w:rPr>
          <w:rFonts w:ascii="Palatino" w:hAnsi="Palatino" w:cs="Arial"/>
        </w:rPr>
        <w:t>simo giorno</w:t>
      </w:r>
      <w:r w:rsidR="00364CC6" w:rsidRPr="00042E29">
        <w:rPr>
          <w:rFonts w:ascii="Palatino" w:hAnsi="Palatino" w:cs="Arial"/>
        </w:rPr>
        <w:t>,</w:t>
      </w:r>
      <w:r w:rsidR="00BF38E5" w:rsidRPr="00042E29">
        <w:rPr>
          <w:rFonts w:ascii="Palatino" w:hAnsi="Palatino" w:cs="Arial"/>
        </w:rPr>
        <w:t xml:space="preserve"> alla valutazione del danno biologico </w:t>
      </w:r>
      <w:r w:rsidR="006258F2" w:rsidRPr="00042E29">
        <w:rPr>
          <w:rFonts w:ascii="Palatino" w:hAnsi="Palatino" w:cs="Arial"/>
        </w:rPr>
        <w:t>temporaneo ordinario</w:t>
      </w:r>
      <w:r w:rsidR="00E94CAF" w:rsidRPr="00042E29">
        <w:rPr>
          <w:rFonts w:ascii="Palatino" w:hAnsi="Palatino" w:cs="Arial"/>
        </w:rPr>
        <w:t>.</w:t>
      </w:r>
      <w:r w:rsidR="00076CEC" w:rsidRPr="00042E29">
        <w:rPr>
          <w:rFonts w:ascii="Palatino" w:hAnsi="Palatino" w:cs="Arial"/>
        </w:rPr>
        <w:t xml:space="preserve"> Ferma la necessità di rigorosa prova del danno ludicamente patito in stato di coscienza.</w:t>
      </w:r>
      <w:r w:rsidR="00BF38E5" w:rsidRPr="00042E29">
        <w:rPr>
          <w:rFonts w:ascii="Palatino" w:hAnsi="Palatino" w:cs="Arial"/>
        </w:rPr>
        <w:t xml:space="preserve"> Nulla impedisce, naturalmente, che a fronte di un decorso particolarmente lungo, la percezione della fine intervenga in un momento successivo</w:t>
      </w:r>
      <w:r w:rsidR="00E94CAF" w:rsidRPr="00042E29">
        <w:rPr>
          <w:rFonts w:ascii="Palatino" w:hAnsi="Palatino" w:cs="Arial"/>
        </w:rPr>
        <w:t xml:space="preserve">, e solo dal quel momento, dunque, potrà sorgere il danno terminale (con relativa decorrenza della tabella giornaliera di seguito proposta). </w:t>
      </w:r>
      <w:r w:rsidR="00DC319D" w:rsidRPr="00042E29">
        <w:rPr>
          <w:rFonts w:ascii="Palatino" w:hAnsi="Palatino" w:cs="Arial"/>
        </w:rPr>
        <w:t>L’Osservatorio propone inoltre l’introduzione di un correttivo volto a</w:t>
      </w:r>
      <w:r w:rsidR="00E94CAF" w:rsidRPr="00042E29">
        <w:rPr>
          <w:rFonts w:ascii="Palatino" w:hAnsi="Palatino" w:cs="Arial"/>
        </w:rPr>
        <w:t xml:space="preserve"> consentire un’adeguata valorizzazione </w:t>
      </w:r>
      <w:r w:rsidR="005C1C5C" w:rsidRPr="00042E29">
        <w:rPr>
          <w:rFonts w:ascii="Palatino" w:hAnsi="Palatino" w:cs="Arial"/>
        </w:rPr>
        <w:t>delle</w:t>
      </w:r>
      <w:r w:rsidR="005B624B" w:rsidRPr="00042E29">
        <w:rPr>
          <w:rFonts w:ascii="Palatino" w:hAnsi="Palatino" w:cs="Arial"/>
        </w:rPr>
        <w:t xml:space="preserve"> situazioni di eccezionale gravità</w:t>
      </w:r>
      <w:r w:rsidR="005C1C5C" w:rsidRPr="00042E29">
        <w:rPr>
          <w:rFonts w:ascii="Palatino" w:hAnsi="Palatino" w:cs="Arial"/>
        </w:rPr>
        <w:t>,</w:t>
      </w:r>
      <w:r w:rsidR="005B624B" w:rsidRPr="00042E29">
        <w:rPr>
          <w:rFonts w:ascii="Palatino" w:hAnsi="Palatino" w:cs="Arial"/>
        </w:rPr>
        <w:t xml:space="preserve"> correlat</w:t>
      </w:r>
      <w:r w:rsidR="00DC319D" w:rsidRPr="00042E29">
        <w:rPr>
          <w:rFonts w:ascii="Palatino" w:hAnsi="Palatino" w:cs="Arial"/>
        </w:rPr>
        <w:t>e</w:t>
      </w:r>
      <w:r w:rsidR="005B624B" w:rsidRPr="00042E29">
        <w:rPr>
          <w:rFonts w:ascii="Palatino" w:hAnsi="Palatino" w:cs="Arial"/>
        </w:rPr>
        <w:t xml:space="preserve"> </w:t>
      </w:r>
      <w:r w:rsidR="00DC319D" w:rsidRPr="00042E29">
        <w:rPr>
          <w:rFonts w:ascii="Palatino" w:hAnsi="Palatino" w:cs="Arial"/>
        </w:rPr>
        <w:t xml:space="preserve">dallo straordinario sconvolgimento emotivo che </w:t>
      </w:r>
      <w:r w:rsidR="00E10C71">
        <w:rPr>
          <w:rFonts w:ascii="Palatino" w:hAnsi="Palatino" w:cs="Arial"/>
        </w:rPr>
        <w:t>sarebbe</w:t>
      </w:r>
      <w:r w:rsidR="00DC319D" w:rsidRPr="00042E29">
        <w:rPr>
          <w:rFonts w:ascii="Palatino" w:hAnsi="Palatino" w:cs="Arial"/>
        </w:rPr>
        <w:t xml:space="preserve"> derivato</w:t>
      </w:r>
      <w:r w:rsidR="00FC2117">
        <w:rPr>
          <w:rFonts w:ascii="Palatino" w:hAnsi="Palatino" w:cs="Arial"/>
        </w:rPr>
        <w:t xml:space="preserve"> dall’evento dannoso (come, ad esempio, nei casi in cui lo stesso presenti condizioni di particolare crudezza)</w:t>
      </w:r>
      <w:r w:rsidR="00DC319D" w:rsidRPr="00042E29">
        <w:rPr>
          <w:rFonts w:ascii="Palatino" w:hAnsi="Palatino" w:cs="Arial"/>
        </w:rPr>
        <w:t xml:space="preserve">. Tali </w:t>
      </w:r>
      <w:r w:rsidR="00DC319D" w:rsidRPr="00042E29">
        <w:rPr>
          <w:rFonts w:ascii="Palatino" w:hAnsi="Palatino" w:cs="Arial"/>
        </w:rPr>
        <w:lastRenderedPageBreak/>
        <w:t xml:space="preserve">situazioni accadono, normalmente, nell’immediatezza dell’evento (o, comunque, subito dopo la prima </w:t>
      </w:r>
      <w:r w:rsidR="003779C9" w:rsidRPr="00042E29">
        <w:rPr>
          <w:rFonts w:ascii="Palatino" w:hAnsi="Palatino" w:cs="Arial"/>
        </w:rPr>
        <w:t xml:space="preserve">– scioccante - </w:t>
      </w:r>
      <w:r w:rsidR="00DC319D" w:rsidRPr="00042E29">
        <w:rPr>
          <w:rFonts w:ascii="Palatino" w:hAnsi="Palatino" w:cs="Arial"/>
        </w:rPr>
        <w:t>percezione del pericolo di vita). Per tale motivo si è ritenuto di prevedere che nei primi tre giorni di danno terminale il Giudice</w:t>
      </w:r>
      <w:r w:rsidR="00571B9D" w:rsidRPr="00042E29">
        <w:rPr>
          <w:rFonts w:ascii="Palatino" w:hAnsi="Palatino" w:cs="Arial"/>
        </w:rPr>
        <w:t xml:space="preserve"> possa </w:t>
      </w:r>
      <w:r w:rsidR="003779C9" w:rsidRPr="00042E29">
        <w:rPr>
          <w:rFonts w:ascii="Palatino" w:hAnsi="Palatino" w:cs="Arial"/>
        </w:rPr>
        <w:t xml:space="preserve">liquidare il danno </w:t>
      </w:r>
      <w:r w:rsidR="00D00EBC" w:rsidRPr="00042E29">
        <w:rPr>
          <w:rFonts w:ascii="Palatino" w:hAnsi="Palatino" w:cs="Arial"/>
        </w:rPr>
        <w:t>muove</w:t>
      </w:r>
      <w:r w:rsidR="003779C9" w:rsidRPr="00042E29">
        <w:rPr>
          <w:rFonts w:ascii="Palatino" w:hAnsi="Palatino" w:cs="Arial"/>
        </w:rPr>
        <w:t>ndosi</w:t>
      </w:r>
      <w:r w:rsidR="00D00EBC" w:rsidRPr="00042E29">
        <w:rPr>
          <w:rFonts w:ascii="Palatino" w:hAnsi="Palatino" w:cs="Arial"/>
        </w:rPr>
        <w:t xml:space="preserve"> </w:t>
      </w:r>
      <w:r w:rsidR="003779C9" w:rsidRPr="00042E29">
        <w:rPr>
          <w:rFonts w:ascii="Palatino" w:hAnsi="Palatino" w:cs="Arial"/>
        </w:rPr>
        <w:t xml:space="preserve">liberamente </w:t>
      </w:r>
      <w:r w:rsidR="00D00EBC" w:rsidRPr="00042E29">
        <w:rPr>
          <w:rFonts w:ascii="Palatino" w:hAnsi="Palatino" w:cs="Arial"/>
        </w:rPr>
        <w:t xml:space="preserve">secondo la </w:t>
      </w:r>
      <w:r w:rsidR="003779C9" w:rsidRPr="00042E29">
        <w:rPr>
          <w:rFonts w:ascii="Palatino" w:hAnsi="Palatino" w:cs="Arial"/>
        </w:rPr>
        <w:t xml:space="preserve">propria </w:t>
      </w:r>
      <w:r w:rsidR="00D00EBC" w:rsidRPr="00042E29">
        <w:rPr>
          <w:rFonts w:ascii="Palatino" w:hAnsi="Palatino" w:cs="Arial"/>
        </w:rPr>
        <w:t>valutazione personalizzata ed equitativa</w:t>
      </w:r>
      <w:r w:rsidR="003779C9" w:rsidRPr="00042E29">
        <w:rPr>
          <w:rFonts w:ascii="Palatino" w:hAnsi="Palatino" w:cs="Arial"/>
        </w:rPr>
        <w:t>,</w:t>
      </w:r>
      <w:r w:rsidR="00D00EBC" w:rsidRPr="00042E29">
        <w:rPr>
          <w:rFonts w:ascii="Palatino" w:hAnsi="Palatino" w:cs="Arial"/>
        </w:rPr>
        <w:t xml:space="preserve"> </w:t>
      </w:r>
      <w:r w:rsidR="003779C9" w:rsidRPr="00042E29">
        <w:rPr>
          <w:rFonts w:ascii="Palatino" w:hAnsi="Palatino" w:cs="Arial"/>
        </w:rPr>
        <w:t>ma nel rispetto di un tetto massimo convenzionalmente stabilito in</w:t>
      </w:r>
      <w:r w:rsidR="00CF3859">
        <w:rPr>
          <w:rFonts w:ascii="Palatino" w:hAnsi="Palatino" w:cs="Arial"/>
        </w:rPr>
        <w:t xml:space="preserve"> 30.000 e</w:t>
      </w:r>
      <w:r w:rsidR="00D00EBC" w:rsidRPr="00042E29">
        <w:rPr>
          <w:rFonts w:ascii="Palatino" w:hAnsi="Palatino" w:cs="Arial"/>
        </w:rPr>
        <w:t>uro</w:t>
      </w:r>
      <w:r w:rsidR="00D50FE9" w:rsidRPr="00042E29">
        <w:rPr>
          <w:rFonts w:ascii="Palatino" w:hAnsi="Palatino" w:cs="Arial"/>
        </w:rPr>
        <w:t xml:space="preserve"> non ulteriormente personalizzabile</w:t>
      </w:r>
      <w:r w:rsidR="00D00EBC" w:rsidRPr="00042E29">
        <w:rPr>
          <w:rFonts w:ascii="Palatino" w:hAnsi="Palatino" w:cs="Arial"/>
        </w:rPr>
        <w:t>.</w:t>
      </w:r>
    </w:p>
    <w:p w:rsidR="00B93BCF" w:rsidRPr="00042E29" w:rsidRDefault="00B93BCF" w:rsidP="00B93BCF">
      <w:pPr>
        <w:jc w:val="both"/>
        <w:rPr>
          <w:rFonts w:ascii="Palatino" w:hAnsi="Palatino" w:cs="Arial"/>
        </w:rPr>
      </w:pPr>
    </w:p>
    <w:p w:rsidR="00D00EBC" w:rsidRPr="00042E29" w:rsidRDefault="00076CEC" w:rsidP="003779C9">
      <w:pPr>
        <w:pStyle w:val="Paragrafoelenco"/>
        <w:numPr>
          <w:ilvl w:val="0"/>
          <w:numId w:val="9"/>
        </w:numPr>
        <w:jc w:val="both"/>
        <w:rPr>
          <w:rFonts w:ascii="Palatino" w:hAnsi="Palatino" w:cs="Arial"/>
        </w:rPr>
      </w:pPr>
      <w:r w:rsidRPr="00042E29">
        <w:rPr>
          <w:rFonts w:ascii="Palatino" w:hAnsi="Palatino" w:cs="Arial"/>
          <w:b/>
        </w:rPr>
        <w:t>Personalizzazione</w:t>
      </w:r>
      <w:r w:rsidR="00364CC6" w:rsidRPr="00042E29">
        <w:rPr>
          <w:rFonts w:ascii="Palatino" w:hAnsi="Palatino" w:cs="Arial"/>
        </w:rPr>
        <w:t>:</w:t>
      </w:r>
      <w:r w:rsidRPr="00042E29">
        <w:rPr>
          <w:rFonts w:ascii="Palatino" w:hAnsi="Palatino" w:cs="Arial"/>
        </w:rPr>
        <w:t xml:space="preserve"> </w:t>
      </w:r>
      <w:r w:rsidR="00364CC6" w:rsidRPr="00042E29">
        <w:rPr>
          <w:rFonts w:ascii="Palatino" w:hAnsi="Palatino" w:cs="Arial"/>
        </w:rPr>
        <w:t>a partire dal quarto giorno</w:t>
      </w:r>
      <w:r w:rsidRPr="00042E29">
        <w:rPr>
          <w:rFonts w:ascii="Palatino" w:hAnsi="Palatino" w:cs="Arial"/>
        </w:rPr>
        <w:t xml:space="preserve">, la valutazione giornaliera del danno sarà </w:t>
      </w:r>
      <w:r w:rsidR="00364CC6" w:rsidRPr="00042E29">
        <w:rPr>
          <w:rFonts w:ascii="Palatino" w:hAnsi="Palatino" w:cs="Arial"/>
        </w:rPr>
        <w:t xml:space="preserve">comunque </w:t>
      </w:r>
      <w:r w:rsidRPr="00042E29">
        <w:rPr>
          <w:rFonts w:ascii="Palatino" w:hAnsi="Palatino" w:cs="Arial"/>
        </w:rPr>
        <w:t xml:space="preserve">personalizzabile, in relazione alle circostanze del caso concreto e del particolare sconvolgimento che risulti di volta in volta provato.  Si propone che tale personalizzazione non superi il limite del 50%, </w:t>
      </w:r>
      <w:r w:rsidR="00DF049D" w:rsidRPr="00042E29">
        <w:rPr>
          <w:rFonts w:ascii="Palatino" w:hAnsi="Palatino" w:cs="Arial"/>
        </w:rPr>
        <w:t>da riconoscersi quale maggiorazione dei valori puntualmente espressi dall’applicazione della tabella di base.</w:t>
      </w:r>
    </w:p>
    <w:p w:rsidR="00160ABE" w:rsidRPr="00042E29" w:rsidRDefault="00160ABE" w:rsidP="00160ABE">
      <w:pPr>
        <w:jc w:val="both"/>
        <w:rPr>
          <w:rFonts w:ascii="Palatino" w:hAnsi="Palatino" w:cs="Arial"/>
        </w:rPr>
      </w:pPr>
    </w:p>
    <w:p w:rsidR="00311197" w:rsidRDefault="00DF049D" w:rsidP="004D1A28">
      <w:pPr>
        <w:pStyle w:val="Paragrafoelenco"/>
        <w:numPr>
          <w:ilvl w:val="0"/>
          <w:numId w:val="9"/>
        </w:numPr>
        <w:jc w:val="both"/>
        <w:rPr>
          <w:rFonts w:ascii="Palatino" w:hAnsi="Palatino" w:cs="Arial"/>
        </w:rPr>
      </w:pPr>
      <w:r w:rsidRPr="00042E29">
        <w:rPr>
          <w:rFonts w:ascii="Palatino" w:hAnsi="Palatino" w:cs="Arial"/>
          <w:b/>
        </w:rPr>
        <w:t xml:space="preserve">Valori convenzionali: </w:t>
      </w:r>
      <w:r w:rsidRPr="00042E29">
        <w:rPr>
          <w:rFonts w:ascii="Palatino" w:hAnsi="Palatino" w:cs="Arial"/>
        </w:rPr>
        <w:t>nell’individuazione del valore (come detto: decrescente) del danno subìto dal quarto al centesimo giorno della tabella l’Osse</w:t>
      </w:r>
      <w:r w:rsidR="00311197">
        <w:rPr>
          <w:rFonts w:ascii="Palatino" w:hAnsi="Palatino" w:cs="Arial"/>
        </w:rPr>
        <w:t>rvatorio ha anche tenuto conto:</w:t>
      </w:r>
    </w:p>
    <w:p w:rsidR="00311197" w:rsidRPr="00311197" w:rsidRDefault="00311197" w:rsidP="00311197">
      <w:pPr>
        <w:jc w:val="both"/>
        <w:rPr>
          <w:rFonts w:ascii="Palatino" w:hAnsi="Palatino" w:cs="Arial"/>
        </w:rPr>
      </w:pPr>
    </w:p>
    <w:p w:rsidR="00311197" w:rsidRDefault="00DF049D" w:rsidP="00311197">
      <w:pPr>
        <w:pStyle w:val="Paragrafoelenco"/>
        <w:numPr>
          <w:ilvl w:val="0"/>
          <w:numId w:val="10"/>
        </w:numPr>
        <w:jc w:val="both"/>
        <w:rPr>
          <w:rFonts w:ascii="Palatino" w:hAnsi="Palatino" w:cs="Arial"/>
        </w:rPr>
      </w:pPr>
      <w:r w:rsidRPr="00042E29">
        <w:rPr>
          <w:rFonts w:ascii="Palatino" w:hAnsi="Palatino" w:cs="Arial"/>
        </w:rPr>
        <w:t>in primo luogo dei parametri in uso presso l</w:t>
      </w:r>
      <w:r w:rsidR="00932880">
        <w:rPr>
          <w:rFonts w:ascii="Palatino" w:hAnsi="Palatino" w:cs="Arial"/>
        </w:rPr>
        <w:t>a giurisprudenza di merito.</w:t>
      </w:r>
      <w:r w:rsidR="00CA48F3">
        <w:rPr>
          <w:rFonts w:ascii="Palatino" w:hAnsi="Palatino" w:cs="Arial"/>
        </w:rPr>
        <w:t xml:space="preserve"> Parametri, tali ultimi, utili</w:t>
      </w:r>
      <w:r w:rsidRPr="00042E29">
        <w:rPr>
          <w:rFonts w:ascii="Palatino" w:hAnsi="Palatino" w:cs="Arial"/>
        </w:rPr>
        <w:t xml:space="preserve"> m</w:t>
      </w:r>
      <w:r w:rsidR="00CF3859">
        <w:rPr>
          <w:rFonts w:ascii="Palatino" w:hAnsi="Palatino" w:cs="Arial"/>
        </w:rPr>
        <w:t>a non particolarmente indicativi</w:t>
      </w:r>
      <w:r w:rsidRPr="00042E29">
        <w:rPr>
          <w:rFonts w:ascii="Palatino" w:hAnsi="Palatino" w:cs="Arial"/>
        </w:rPr>
        <w:t xml:space="preserve"> proprio in considerazione del</w:t>
      </w:r>
      <w:r w:rsidR="00D50FE9" w:rsidRPr="00042E29">
        <w:rPr>
          <w:rFonts w:ascii="Palatino" w:hAnsi="Palatino" w:cs="Arial"/>
        </w:rPr>
        <w:t xml:space="preserve">l’assoluta disomogeneità dei </w:t>
      </w:r>
      <w:r w:rsidR="00311197">
        <w:rPr>
          <w:rFonts w:ascii="Palatino" w:hAnsi="Palatino" w:cs="Arial"/>
        </w:rPr>
        <w:t>dati.</w:t>
      </w:r>
    </w:p>
    <w:p w:rsidR="00D9448D" w:rsidRPr="00042E29" w:rsidRDefault="00311197" w:rsidP="00311197">
      <w:pPr>
        <w:pStyle w:val="Paragrafoelenco"/>
        <w:numPr>
          <w:ilvl w:val="0"/>
          <w:numId w:val="10"/>
        </w:numPr>
        <w:jc w:val="both"/>
        <w:rPr>
          <w:rFonts w:ascii="Palatino" w:hAnsi="Palatino" w:cs="Arial"/>
        </w:rPr>
      </w:pPr>
      <w:r>
        <w:rPr>
          <w:rFonts w:ascii="Palatino" w:hAnsi="Palatino" w:cs="Arial"/>
        </w:rPr>
        <w:t>i</w:t>
      </w:r>
      <w:r w:rsidR="00DF049D" w:rsidRPr="00042E29">
        <w:rPr>
          <w:rFonts w:ascii="Palatino" w:hAnsi="Palatino" w:cs="Arial"/>
        </w:rPr>
        <w:t>n secondo luogo dell’esigenza di contenere il danno – nella sua massima espressione possibile – entro un valore che non fin</w:t>
      </w:r>
      <w:r w:rsidR="00D50FE9" w:rsidRPr="00042E29">
        <w:rPr>
          <w:rFonts w:ascii="Palatino" w:hAnsi="Palatino" w:cs="Arial"/>
        </w:rPr>
        <w:t xml:space="preserve">isca per confondersi con quanto </w:t>
      </w:r>
      <w:r w:rsidR="00DF049D" w:rsidRPr="00042E29">
        <w:rPr>
          <w:rFonts w:ascii="Palatino" w:hAnsi="Palatino" w:cs="Arial"/>
        </w:rPr>
        <w:t>talune recenti decisioni giurisprudenziali hanno riconosciuto a titolo di danno da morte immediata, oggi espressamente ripudiato dalla Cassazione.</w:t>
      </w:r>
      <w:r w:rsidR="00D46736" w:rsidRPr="00042E29">
        <w:rPr>
          <w:rFonts w:ascii="Palatino" w:hAnsi="Palatino" w:cs="Arial"/>
        </w:rPr>
        <w:t xml:space="preserve"> Ciò premesso, il valore del quarto gi</w:t>
      </w:r>
      <w:r w:rsidR="00CF3859">
        <w:rPr>
          <w:rFonts w:ascii="Palatino" w:hAnsi="Palatino" w:cs="Arial"/>
        </w:rPr>
        <w:t xml:space="preserve">orno è stato individuato in </w:t>
      </w:r>
      <w:r w:rsidR="00D46736" w:rsidRPr="00042E29">
        <w:rPr>
          <w:rFonts w:ascii="Palatino" w:hAnsi="Palatino" w:cs="Arial"/>
        </w:rPr>
        <w:t xml:space="preserve"> 1.000</w:t>
      </w:r>
      <w:r w:rsidR="00CF3859">
        <w:rPr>
          <w:rFonts w:ascii="Palatino" w:hAnsi="Palatino" w:cs="Arial"/>
        </w:rPr>
        <w:t xml:space="preserve"> euro</w:t>
      </w:r>
      <w:r w:rsidR="00D46736" w:rsidRPr="00042E29">
        <w:rPr>
          <w:rFonts w:ascii="Palatino" w:hAnsi="Palatino" w:cs="Arial"/>
        </w:rPr>
        <w:t xml:space="preserve">, </w:t>
      </w:r>
      <w:r w:rsidR="004D1A28" w:rsidRPr="00042E29">
        <w:rPr>
          <w:rFonts w:ascii="Palatino" w:hAnsi="Palatino" w:cs="Arial"/>
        </w:rPr>
        <w:t>mentre la progressiva diminuzione giornaliera è stata calcolata, con i necessari arrotondamenti, in modo tale da giungere, alla fine del p</w:t>
      </w:r>
      <w:r w:rsidR="009D0F73">
        <w:rPr>
          <w:rFonts w:ascii="Palatino" w:hAnsi="Palatino" w:cs="Arial"/>
        </w:rPr>
        <w:t>eriodo, ad un valore (</w:t>
      </w:r>
      <w:r w:rsidR="00CF3859">
        <w:rPr>
          <w:rFonts w:ascii="Palatino" w:hAnsi="Palatino" w:cs="Arial"/>
        </w:rPr>
        <w:t>98</w:t>
      </w:r>
      <w:r w:rsidR="009D0F73">
        <w:rPr>
          <w:rFonts w:ascii="Palatino" w:hAnsi="Palatino" w:cs="Arial"/>
        </w:rPr>
        <w:t xml:space="preserve"> euro</w:t>
      </w:r>
      <w:r w:rsidR="004D1A28" w:rsidRPr="00042E29">
        <w:rPr>
          <w:rFonts w:ascii="Palatino" w:hAnsi="Palatino" w:cs="Arial"/>
        </w:rPr>
        <w:t xml:space="preserve">) </w:t>
      </w:r>
      <w:r w:rsidR="0042565C">
        <w:rPr>
          <w:rFonts w:ascii="Palatino" w:hAnsi="Palatino" w:cs="Arial"/>
        </w:rPr>
        <w:t xml:space="preserve">pressoché pari </w:t>
      </w:r>
      <w:r w:rsidR="004D1A28" w:rsidRPr="00042E29">
        <w:rPr>
          <w:rFonts w:ascii="Palatino" w:hAnsi="Palatino" w:cs="Arial"/>
        </w:rPr>
        <w:t xml:space="preserve">a quanto </w:t>
      </w:r>
      <w:r w:rsidR="004D1A28" w:rsidRPr="00CF3859">
        <w:rPr>
          <w:rFonts w:ascii="Palatino" w:hAnsi="Palatino" w:cs="Arial"/>
          <w:i/>
        </w:rPr>
        <w:t xml:space="preserve">pro die </w:t>
      </w:r>
      <w:r w:rsidR="00CF3859">
        <w:rPr>
          <w:rFonts w:ascii="Palatino" w:hAnsi="Palatino" w:cs="Arial"/>
        </w:rPr>
        <w:t xml:space="preserve">stabilito dalla Tabella </w:t>
      </w:r>
      <w:r w:rsidR="004D1A28" w:rsidRPr="00042E29">
        <w:rPr>
          <w:rFonts w:ascii="Palatino" w:hAnsi="Palatino" w:cs="Arial"/>
        </w:rPr>
        <w:t>per il danno biol</w:t>
      </w:r>
      <w:r w:rsidR="00CF3859">
        <w:rPr>
          <w:rFonts w:ascii="Palatino" w:hAnsi="Palatino" w:cs="Arial"/>
        </w:rPr>
        <w:t>ogico temporaneo standard (</w:t>
      </w:r>
      <w:r w:rsidR="004D1A28" w:rsidRPr="00042E29">
        <w:rPr>
          <w:rFonts w:ascii="Palatino" w:hAnsi="Palatino" w:cs="Arial"/>
        </w:rPr>
        <w:t>9</w:t>
      </w:r>
      <w:r w:rsidR="00BF5FD4">
        <w:rPr>
          <w:rFonts w:ascii="Palatino" w:hAnsi="Palatino" w:cs="Arial"/>
        </w:rPr>
        <w:t>6</w:t>
      </w:r>
      <w:r w:rsidR="00CF3859">
        <w:rPr>
          <w:rFonts w:ascii="Palatino" w:hAnsi="Palatino" w:cs="Arial"/>
        </w:rPr>
        <w:t xml:space="preserve"> euro</w:t>
      </w:r>
      <w:r w:rsidR="004D1A28" w:rsidRPr="00042E29">
        <w:rPr>
          <w:rFonts w:ascii="Palatino" w:hAnsi="Palatino" w:cs="Arial"/>
        </w:rPr>
        <w:t>). Il tutt</w:t>
      </w:r>
      <w:r w:rsidR="00D50FE9" w:rsidRPr="00042E29">
        <w:rPr>
          <w:rFonts w:ascii="Palatino" w:hAnsi="Palatino" w:cs="Arial"/>
        </w:rPr>
        <w:t xml:space="preserve">o, naturalmente, al netto della </w:t>
      </w:r>
      <w:r w:rsidR="00CF3859">
        <w:rPr>
          <w:rFonts w:ascii="Palatino" w:hAnsi="Palatino" w:cs="Arial"/>
        </w:rPr>
        <w:t xml:space="preserve">eventuale personalizzazione </w:t>
      </w:r>
      <w:r w:rsidR="004D1A28" w:rsidRPr="00042E29">
        <w:rPr>
          <w:rFonts w:ascii="Palatino" w:hAnsi="Palatino" w:cs="Arial"/>
        </w:rPr>
        <w:t>che, come detto, l’Osservatorio propone entro il limite massimo del 50%.</w:t>
      </w:r>
    </w:p>
    <w:p w:rsidR="00B93BCF" w:rsidRPr="00042E29" w:rsidRDefault="00B93BCF" w:rsidP="00B93BCF">
      <w:pPr>
        <w:jc w:val="both"/>
        <w:rPr>
          <w:rFonts w:ascii="Palatino" w:hAnsi="Palatino" w:cs="Arial"/>
        </w:rPr>
      </w:pPr>
    </w:p>
    <w:p w:rsidR="00550119" w:rsidRPr="00550119" w:rsidRDefault="00717D98" w:rsidP="002C72BC">
      <w:pPr>
        <w:pStyle w:val="Paragrafoelenco"/>
        <w:jc w:val="both"/>
        <w:rPr>
          <w:rFonts w:ascii="Palatino" w:hAnsi="Palatino" w:cs="Arial"/>
          <w:b/>
        </w:rPr>
      </w:pPr>
      <w:r w:rsidRPr="00717D98">
        <w:rPr>
          <w:rFonts w:ascii="Palatino" w:hAnsi="Palatino" w:cs="Arial"/>
          <w:b/>
        </w:rPr>
        <w:t>Nota di attenzione</w:t>
      </w:r>
      <w:r w:rsidR="002C72BC">
        <w:rPr>
          <w:rFonts w:ascii="Palatino" w:hAnsi="Palatino" w:cs="Arial"/>
          <w:b/>
        </w:rPr>
        <w:t xml:space="preserve"> ed esempio</w:t>
      </w:r>
      <w:r w:rsidRPr="00717D98">
        <w:rPr>
          <w:rFonts w:ascii="Palatino" w:hAnsi="Palatino" w:cs="Arial"/>
          <w:b/>
        </w:rPr>
        <w:t xml:space="preserve">: </w:t>
      </w:r>
      <w:r>
        <w:rPr>
          <w:rFonts w:ascii="Palatino" w:hAnsi="Palatino" w:cs="Arial"/>
        </w:rPr>
        <w:t>i valori espressi nella Tabella e corrispondenti</w:t>
      </w:r>
      <w:r w:rsidR="006C4AFA">
        <w:rPr>
          <w:rFonts w:ascii="Palatino" w:hAnsi="Palatino" w:cs="Arial"/>
        </w:rPr>
        <w:t xml:space="preserve"> </w:t>
      </w:r>
      <w:r w:rsidR="004E0B70">
        <w:rPr>
          <w:rFonts w:ascii="Palatino" w:hAnsi="Palatino" w:cs="Arial"/>
        </w:rPr>
        <w:t>all’ammontare del risarcimento base liquidabile in</w:t>
      </w:r>
      <w:r w:rsidR="004F7CEB">
        <w:rPr>
          <w:rFonts w:ascii="Palatino" w:hAnsi="Palatino" w:cs="Arial"/>
        </w:rPr>
        <w:t xml:space="preserve"> funzione del numero di giorni (d</w:t>
      </w:r>
      <w:r w:rsidR="002D02D6">
        <w:rPr>
          <w:rFonts w:ascii="Palatino" w:hAnsi="Palatino" w:cs="Arial"/>
        </w:rPr>
        <w:t>a quattro a cento</w:t>
      </w:r>
      <w:r w:rsidR="004F7CEB">
        <w:rPr>
          <w:rFonts w:ascii="Palatino" w:hAnsi="Palatino" w:cs="Arial"/>
        </w:rPr>
        <w:t xml:space="preserve">) </w:t>
      </w:r>
      <w:r w:rsidR="004E0B70">
        <w:rPr>
          <w:rFonts w:ascii="Palatino" w:hAnsi="Palatino" w:cs="Arial"/>
        </w:rPr>
        <w:t>della sofferenza terminale, sono da intendersi come aggiunti</w:t>
      </w:r>
      <w:r w:rsidR="00E2545B">
        <w:rPr>
          <w:rFonts w:ascii="Palatino" w:hAnsi="Palatino" w:cs="Arial"/>
        </w:rPr>
        <w:t>vi</w:t>
      </w:r>
      <w:r w:rsidR="004E0B70">
        <w:rPr>
          <w:rFonts w:ascii="Palatino" w:hAnsi="Palatino" w:cs="Arial"/>
        </w:rPr>
        <w:t xml:space="preserve"> </w:t>
      </w:r>
      <w:r w:rsidR="00E2545B">
        <w:rPr>
          <w:rFonts w:ascii="Palatino" w:hAnsi="Palatino" w:cs="Arial"/>
        </w:rPr>
        <w:t>r</w:t>
      </w:r>
      <w:r w:rsidR="004F7CEB">
        <w:rPr>
          <w:rFonts w:ascii="Palatino" w:hAnsi="Palatino" w:cs="Arial"/>
        </w:rPr>
        <w:t>ispetto a quanto riconosciuto (</w:t>
      </w:r>
      <w:r w:rsidR="004E0B70">
        <w:rPr>
          <w:rFonts w:ascii="Palatino" w:hAnsi="Palatino" w:cs="Arial"/>
        </w:rPr>
        <w:t xml:space="preserve">entro </w:t>
      </w:r>
      <w:r w:rsidR="00E2545B">
        <w:rPr>
          <w:rFonts w:ascii="Palatino" w:hAnsi="Palatino" w:cs="Arial"/>
        </w:rPr>
        <w:t>il</w:t>
      </w:r>
      <w:r w:rsidR="002D02D6">
        <w:rPr>
          <w:rFonts w:ascii="Palatino" w:hAnsi="Palatino" w:cs="Arial"/>
        </w:rPr>
        <w:t xml:space="preserve"> tetto massimo di </w:t>
      </w:r>
      <w:r w:rsidR="004F7CEB">
        <w:rPr>
          <w:rFonts w:ascii="Palatino" w:hAnsi="Palatino" w:cs="Arial"/>
        </w:rPr>
        <w:t>30.000</w:t>
      </w:r>
      <w:r w:rsidR="002D02D6">
        <w:rPr>
          <w:rFonts w:ascii="Palatino" w:hAnsi="Palatino" w:cs="Arial"/>
        </w:rPr>
        <w:t xml:space="preserve"> euro</w:t>
      </w:r>
      <w:r w:rsidR="004F7CEB">
        <w:rPr>
          <w:rFonts w:ascii="Palatino" w:hAnsi="Palatino" w:cs="Arial"/>
        </w:rPr>
        <w:t xml:space="preserve">) </w:t>
      </w:r>
      <w:r w:rsidR="00E2545B">
        <w:rPr>
          <w:rFonts w:ascii="Palatino" w:hAnsi="Palatino" w:cs="Arial"/>
        </w:rPr>
        <w:t>in via di equità per i primi tre giorni di danno</w:t>
      </w:r>
      <w:r w:rsidR="008A70F1">
        <w:rPr>
          <w:rFonts w:ascii="Palatino" w:hAnsi="Palatino" w:cs="Arial"/>
        </w:rPr>
        <w:t xml:space="preserve">. </w:t>
      </w:r>
    </w:p>
    <w:p w:rsidR="00550119" w:rsidRDefault="00550119" w:rsidP="00550119">
      <w:pPr>
        <w:pStyle w:val="Paragrafoelenco"/>
        <w:jc w:val="both"/>
        <w:rPr>
          <w:rFonts w:ascii="Palatino" w:hAnsi="Palatino" w:cs="Arial"/>
        </w:rPr>
      </w:pPr>
    </w:p>
    <w:p w:rsidR="00717D98" w:rsidRPr="00550119" w:rsidRDefault="008A70F1" w:rsidP="00550119">
      <w:pPr>
        <w:pStyle w:val="Paragrafoelenco"/>
        <w:jc w:val="both"/>
        <w:rPr>
          <w:rFonts w:ascii="Palatino" w:hAnsi="Palatino" w:cs="Arial"/>
          <w:b/>
        </w:rPr>
      </w:pPr>
      <w:r w:rsidRPr="00D052F0">
        <w:rPr>
          <w:rFonts w:ascii="Palatino" w:hAnsi="Palatino" w:cs="Arial"/>
          <w:b/>
        </w:rPr>
        <w:t>Così</w:t>
      </w:r>
      <w:r w:rsidR="002C72BC">
        <w:rPr>
          <w:rFonts w:ascii="Palatino" w:hAnsi="Palatino" w:cs="Arial"/>
          <w:b/>
        </w:rPr>
        <w:t xml:space="preserve">, a titolo di esempio, </w:t>
      </w:r>
      <w:r w:rsidRPr="00D052F0">
        <w:rPr>
          <w:rFonts w:ascii="Palatino" w:hAnsi="Palatino" w:cs="Arial"/>
          <w:b/>
        </w:rPr>
        <w:t xml:space="preserve"> a fronte di un </w:t>
      </w:r>
      <w:r w:rsidR="002C72BC">
        <w:rPr>
          <w:rFonts w:ascii="Palatino" w:hAnsi="Palatino" w:cs="Arial"/>
          <w:b/>
        </w:rPr>
        <w:t xml:space="preserve">(comprovato) </w:t>
      </w:r>
      <w:r w:rsidR="002C72BC" w:rsidRPr="00D052F0">
        <w:rPr>
          <w:rFonts w:ascii="Palatino" w:hAnsi="Palatino" w:cs="Arial"/>
          <w:b/>
        </w:rPr>
        <w:t>danno</w:t>
      </w:r>
      <w:r w:rsidR="002C72BC">
        <w:rPr>
          <w:rFonts w:ascii="Palatino" w:hAnsi="Palatino" w:cs="Arial"/>
          <w:b/>
        </w:rPr>
        <w:t xml:space="preserve"> </w:t>
      </w:r>
      <w:r w:rsidRPr="00D052F0">
        <w:rPr>
          <w:rFonts w:ascii="Palatino" w:hAnsi="Palatino" w:cs="Arial"/>
          <w:b/>
        </w:rPr>
        <w:t>terminale</w:t>
      </w:r>
      <w:r w:rsidR="002C72BC">
        <w:rPr>
          <w:rFonts w:ascii="Palatino" w:hAnsi="Palatino" w:cs="Arial"/>
          <w:b/>
        </w:rPr>
        <w:t xml:space="preserve"> protrattosi per </w:t>
      </w:r>
      <w:r w:rsidRPr="00D052F0">
        <w:rPr>
          <w:rFonts w:ascii="Palatino" w:hAnsi="Palatino" w:cs="Arial"/>
          <w:b/>
        </w:rPr>
        <w:t>10 giorni</w:t>
      </w:r>
      <w:r w:rsidR="00E71F10" w:rsidRPr="00D052F0">
        <w:rPr>
          <w:rFonts w:ascii="Palatino" w:hAnsi="Palatino" w:cs="Arial"/>
          <w:b/>
        </w:rPr>
        <w:t>,</w:t>
      </w:r>
      <w:r w:rsidR="00E71F10" w:rsidRPr="00550119">
        <w:rPr>
          <w:rFonts w:ascii="Palatino" w:hAnsi="Palatino" w:cs="Arial"/>
        </w:rPr>
        <w:t xml:space="preserve"> il Giudice potrà</w:t>
      </w:r>
      <w:r w:rsidR="002C72BC">
        <w:rPr>
          <w:rFonts w:ascii="Palatino" w:hAnsi="Palatino" w:cs="Arial"/>
        </w:rPr>
        <w:t xml:space="preserve"> anzitutto valorizzare equitativamente  i primi tre giorni di sofferenza liquidando una somma determinata entro il tetto massimo di euro 30.000 (non ulteriormente personalizzabile). A tale valore, liberamente determinato entro quel limite, sarà da aggiungere </w:t>
      </w:r>
      <w:r w:rsidR="00E71F10" w:rsidRPr="00550119">
        <w:rPr>
          <w:rFonts w:ascii="Palatino" w:hAnsi="Palatino" w:cs="Arial"/>
        </w:rPr>
        <w:t>l’importo</w:t>
      </w:r>
      <w:r w:rsidR="002C72BC">
        <w:rPr>
          <w:rFonts w:ascii="Palatino" w:hAnsi="Palatino" w:cs="Arial"/>
        </w:rPr>
        <w:t xml:space="preserve"> indicato in tabella in corrispondenza del decimo giorno di sofferenza terminale, pari ad</w:t>
      </w:r>
      <w:r w:rsidR="00E71F10" w:rsidRPr="00550119">
        <w:rPr>
          <w:rFonts w:ascii="Palatino" w:hAnsi="Palatino" w:cs="Arial"/>
        </w:rPr>
        <w:t xml:space="preserve"> </w:t>
      </w:r>
      <w:r w:rsidR="002C72BC">
        <w:rPr>
          <w:rFonts w:ascii="Palatino" w:hAnsi="Palatino" w:cs="Arial"/>
        </w:rPr>
        <w:t>Euro</w:t>
      </w:r>
      <w:r w:rsidR="00E71F10" w:rsidRPr="00550119">
        <w:rPr>
          <w:rFonts w:ascii="Palatino" w:hAnsi="Palatino" w:cs="Arial"/>
        </w:rPr>
        <w:t xml:space="preserve"> </w:t>
      </w:r>
      <w:r w:rsidR="00207A59" w:rsidRPr="00550119">
        <w:rPr>
          <w:rFonts w:ascii="Palatino" w:hAnsi="Palatino" w:cs="Arial"/>
        </w:rPr>
        <w:t>6.803</w:t>
      </w:r>
      <w:r w:rsidR="002C72BC">
        <w:rPr>
          <w:rFonts w:ascii="Palatino" w:hAnsi="Palatino" w:cs="Arial"/>
        </w:rPr>
        <w:t xml:space="preserve">. Importo, tale ultimo, </w:t>
      </w:r>
      <w:r w:rsidR="00E71F10" w:rsidRPr="00550119">
        <w:rPr>
          <w:rFonts w:ascii="Palatino" w:hAnsi="Palatino" w:cs="Arial"/>
        </w:rPr>
        <w:t>aumentabile del 50% in via di personalizzazione</w:t>
      </w:r>
      <w:r w:rsidR="002C72BC">
        <w:rPr>
          <w:rFonts w:ascii="Palatino" w:hAnsi="Palatino" w:cs="Arial"/>
        </w:rPr>
        <w:t xml:space="preserve"> (qualora allegati e provati i fatti che la sostengono) . E quindi:</w:t>
      </w:r>
    </w:p>
    <w:p w:rsidR="002D5AA1" w:rsidRPr="007D452A" w:rsidRDefault="002D5AA1" w:rsidP="00F25119">
      <w:pPr>
        <w:pStyle w:val="Paragrafoelenco"/>
        <w:jc w:val="both"/>
        <w:rPr>
          <w:rFonts w:ascii="Palatino" w:hAnsi="Palatino" w:cs="Arial"/>
          <w:b/>
        </w:rPr>
      </w:pPr>
    </w:p>
    <w:p w:rsidR="00D31E69" w:rsidRDefault="007D452A" w:rsidP="00F25119">
      <w:pPr>
        <w:pStyle w:val="Paragrafoelenco"/>
        <w:numPr>
          <w:ilvl w:val="0"/>
          <w:numId w:val="11"/>
        </w:numPr>
        <w:jc w:val="both"/>
        <w:rPr>
          <w:rFonts w:ascii="Palatino" w:hAnsi="Palatino" w:cs="Arial"/>
          <w:b/>
        </w:rPr>
      </w:pPr>
      <w:r>
        <w:rPr>
          <w:rFonts w:ascii="Palatino" w:hAnsi="Palatino" w:cs="Arial"/>
          <w:b/>
        </w:rPr>
        <w:lastRenderedPageBreak/>
        <w:t>danno liquidato per i primi 3 giorni</w:t>
      </w:r>
      <w:r w:rsidR="00646732">
        <w:rPr>
          <w:rFonts w:ascii="Palatino" w:hAnsi="Palatino" w:cs="Arial"/>
          <w:b/>
        </w:rPr>
        <w:t>:</w:t>
      </w:r>
      <w:r w:rsidR="00285D29">
        <w:rPr>
          <w:rFonts w:ascii="Palatino" w:hAnsi="Palatino" w:cs="Arial"/>
          <w:b/>
        </w:rPr>
        <w:t xml:space="preserve"> </w:t>
      </w:r>
      <w:r w:rsidR="00646732">
        <w:rPr>
          <w:rFonts w:ascii="Palatino" w:hAnsi="Palatino" w:cs="Arial"/>
          <w:b/>
        </w:rPr>
        <w:t xml:space="preserve"> </w:t>
      </w:r>
      <w:r>
        <w:rPr>
          <w:rFonts w:ascii="Palatino" w:hAnsi="Palatino" w:cs="Arial"/>
          <w:b/>
        </w:rPr>
        <w:t xml:space="preserve"> </w:t>
      </w:r>
      <w:r w:rsidRPr="00870896">
        <w:rPr>
          <w:rFonts w:ascii="Palatino" w:hAnsi="Palatino" w:cs="Arial"/>
          <w:b/>
          <w:u w:val="single"/>
        </w:rPr>
        <w:t>fino a 30.000</w:t>
      </w:r>
      <w:r w:rsidR="008E2514">
        <w:rPr>
          <w:rFonts w:ascii="Palatino" w:hAnsi="Palatino" w:cs="Arial"/>
          <w:b/>
          <w:u w:val="single"/>
        </w:rPr>
        <w:t xml:space="preserve"> euro</w:t>
      </w:r>
      <w:r>
        <w:rPr>
          <w:rFonts w:ascii="Palatino" w:hAnsi="Palatino" w:cs="Arial"/>
          <w:b/>
        </w:rPr>
        <w:t>;</w:t>
      </w:r>
    </w:p>
    <w:p w:rsidR="002D5AA1" w:rsidRDefault="002D5AA1" w:rsidP="00F25119">
      <w:pPr>
        <w:pStyle w:val="Paragrafoelenco"/>
        <w:ind w:left="1440"/>
        <w:jc w:val="both"/>
        <w:rPr>
          <w:rFonts w:ascii="Palatino" w:hAnsi="Palatino" w:cs="Arial"/>
          <w:b/>
        </w:rPr>
      </w:pPr>
    </w:p>
    <w:p w:rsidR="00285D29" w:rsidRDefault="00285D29" w:rsidP="00F25119">
      <w:pPr>
        <w:pStyle w:val="Paragrafoelenco"/>
        <w:ind w:left="4820"/>
        <w:jc w:val="both"/>
        <w:rPr>
          <w:rFonts w:ascii="Palatino" w:hAnsi="Palatino" w:cs="Arial"/>
          <w:b/>
        </w:rPr>
      </w:pPr>
      <w:r>
        <w:rPr>
          <w:rFonts w:ascii="Palatino" w:hAnsi="Palatino" w:cs="Arial"/>
          <w:b/>
        </w:rPr>
        <w:t>+</w:t>
      </w:r>
    </w:p>
    <w:p w:rsidR="002D5AA1" w:rsidRPr="007F3708" w:rsidRDefault="002D5AA1" w:rsidP="00F25119">
      <w:pPr>
        <w:pStyle w:val="Paragrafoelenco"/>
        <w:ind w:left="4820"/>
        <w:jc w:val="both"/>
        <w:rPr>
          <w:rFonts w:ascii="Palatino" w:hAnsi="Palatino" w:cs="Arial"/>
          <w:b/>
        </w:rPr>
      </w:pPr>
    </w:p>
    <w:p w:rsidR="007D452A" w:rsidRDefault="007D452A" w:rsidP="00F25119">
      <w:pPr>
        <w:pStyle w:val="Paragrafoelenco"/>
        <w:numPr>
          <w:ilvl w:val="0"/>
          <w:numId w:val="11"/>
        </w:numPr>
        <w:jc w:val="both"/>
        <w:rPr>
          <w:rFonts w:ascii="Palatino" w:hAnsi="Palatino" w:cs="Arial"/>
          <w:b/>
        </w:rPr>
      </w:pPr>
      <w:r>
        <w:rPr>
          <w:rFonts w:ascii="Palatino" w:hAnsi="Palatino" w:cs="Arial"/>
          <w:b/>
        </w:rPr>
        <w:t>danno liqui</w:t>
      </w:r>
      <w:r w:rsidR="007D0FE7">
        <w:rPr>
          <w:rFonts w:ascii="Palatino" w:hAnsi="Palatino" w:cs="Arial"/>
          <w:b/>
        </w:rPr>
        <w:t>dato dal giorno 4 al giorno 10</w:t>
      </w:r>
      <w:r w:rsidR="00646732">
        <w:rPr>
          <w:rFonts w:ascii="Palatino" w:hAnsi="Palatino" w:cs="Arial"/>
          <w:b/>
        </w:rPr>
        <w:t>;</w:t>
      </w:r>
      <w:r w:rsidR="007D0FE7">
        <w:rPr>
          <w:rFonts w:ascii="Palatino" w:hAnsi="Palatino" w:cs="Arial"/>
          <w:b/>
        </w:rPr>
        <w:t xml:space="preserve"> </w:t>
      </w:r>
      <w:r w:rsidRPr="00870896">
        <w:rPr>
          <w:rFonts w:ascii="Palatino" w:hAnsi="Palatino" w:cs="Arial"/>
          <w:b/>
          <w:u w:val="single"/>
        </w:rPr>
        <w:t>da 6.803 a 10.204,5</w:t>
      </w:r>
      <w:r w:rsidR="008E2514">
        <w:rPr>
          <w:rFonts w:ascii="Palatino" w:hAnsi="Palatino" w:cs="Arial"/>
          <w:b/>
          <w:u w:val="single"/>
        </w:rPr>
        <w:t xml:space="preserve"> euro</w:t>
      </w:r>
      <w:r>
        <w:rPr>
          <w:rFonts w:ascii="Palatino" w:hAnsi="Palatino" w:cs="Arial"/>
          <w:b/>
        </w:rPr>
        <w:t>;</w:t>
      </w:r>
    </w:p>
    <w:p w:rsidR="002D5AA1" w:rsidRDefault="002D5AA1" w:rsidP="00F25119">
      <w:pPr>
        <w:pStyle w:val="Paragrafoelenco"/>
        <w:ind w:left="1440"/>
        <w:jc w:val="both"/>
        <w:rPr>
          <w:rFonts w:ascii="Palatino" w:hAnsi="Palatino" w:cs="Arial"/>
          <w:b/>
        </w:rPr>
      </w:pPr>
    </w:p>
    <w:p w:rsidR="0003309E" w:rsidRDefault="00285D29" w:rsidP="00F25119">
      <w:pPr>
        <w:pStyle w:val="Paragrafoelenco"/>
        <w:tabs>
          <w:tab w:val="left" w:pos="5245"/>
        </w:tabs>
        <w:ind w:left="142"/>
        <w:jc w:val="center"/>
        <w:rPr>
          <w:rFonts w:ascii="Palatino" w:hAnsi="Palatino" w:cs="Arial"/>
          <w:b/>
        </w:rPr>
      </w:pPr>
      <w:r>
        <w:rPr>
          <w:rFonts w:ascii="Palatino" w:hAnsi="Palatino" w:cs="Arial"/>
          <w:b/>
        </w:rPr>
        <w:t>=</w:t>
      </w:r>
    </w:p>
    <w:p w:rsidR="002D5AA1" w:rsidRDefault="002D5AA1" w:rsidP="00F25119">
      <w:pPr>
        <w:pStyle w:val="Paragrafoelenco"/>
        <w:tabs>
          <w:tab w:val="left" w:pos="5245"/>
        </w:tabs>
        <w:ind w:left="142"/>
        <w:jc w:val="center"/>
        <w:rPr>
          <w:rFonts w:ascii="Palatino" w:hAnsi="Palatino" w:cs="Arial"/>
          <w:b/>
        </w:rPr>
      </w:pPr>
    </w:p>
    <w:p w:rsidR="0088176B" w:rsidRPr="0065077F" w:rsidRDefault="00285D29" w:rsidP="0065077F">
      <w:pPr>
        <w:pStyle w:val="Paragrafoelenco"/>
        <w:numPr>
          <w:ilvl w:val="0"/>
          <w:numId w:val="11"/>
        </w:numPr>
        <w:jc w:val="both"/>
        <w:rPr>
          <w:rFonts w:ascii="Palatino" w:hAnsi="Palatino" w:cs="Arial"/>
          <w:b/>
          <w:u w:val="single"/>
        </w:rPr>
      </w:pPr>
      <w:r>
        <w:rPr>
          <w:rFonts w:ascii="Palatino" w:hAnsi="Palatino" w:cs="Arial"/>
          <w:b/>
        </w:rPr>
        <w:t>valore massimo liquidabile</w:t>
      </w:r>
      <w:r w:rsidR="007D0FE7">
        <w:rPr>
          <w:rFonts w:ascii="Palatino" w:hAnsi="Palatino" w:cs="Arial"/>
          <w:b/>
        </w:rPr>
        <w:t xml:space="preserve"> </w:t>
      </w:r>
      <w:r w:rsidR="007D0FE7" w:rsidRPr="00870896">
        <w:rPr>
          <w:rFonts w:ascii="Palatino" w:hAnsi="Palatino" w:cs="Arial"/>
          <w:b/>
          <w:u w:val="single"/>
        </w:rPr>
        <w:t>30.000 + 10.204,5= 40.204,5</w:t>
      </w:r>
      <w:r w:rsidR="008E2514">
        <w:rPr>
          <w:rFonts w:ascii="Palatino" w:hAnsi="Palatino" w:cs="Arial"/>
          <w:b/>
          <w:u w:val="single"/>
        </w:rPr>
        <w:t xml:space="preserve"> euro</w:t>
      </w:r>
      <w:r w:rsidR="007D0FE7" w:rsidRPr="00870896">
        <w:rPr>
          <w:rFonts w:ascii="Palatino" w:hAnsi="Palatino" w:cs="Arial"/>
          <w:b/>
          <w:u w:val="single"/>
        </w:rPr>
        <w:t>.</w:t>
      </w:r>
      <w:bookmarkStart w:id="0" w:name="_GoBack"/>
      <w:bookmarkEnd w:id="0"/>
    </w:p>
    <w:sectPr w:rsidR="0088176B" w:rsidRPr="0065077F" w:rsidSect="00F541D4">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212" w:rsidRDefault="007F5212" w:rsidP="00583F28">
      <w:r>
        <w:separator/>
      </w:r>
    </w:p>
  </w:endnote>
  <w:endnote w:type="continuationSeparator" w:id="0">
    <w:p w:rsidR="007F5212" w:rsidRDefault="007F5212" w:rsidP="0058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889315"/>
      <w:docPartObj>
        <w:docPartGallery w:val="Page Numbers (Bottom of Page)"/>
        <w:docPartUnique/>
      </w:docPartObj>
    </w:sdtPr>
    <w:sdtEndPr/>
    <w:sdtContent>
      <w:p w:rsidR="00583F28" w:rsidRDefault="00583F28">
        <w:pPr>
          <w:pStyle w:val="Pidipagina"/>
          <w:jc w:val="center"/>
        </w:pPr>
        <w:r>
          <w:fldChar w:fldCharType="begin"/>
        </w:r>
        <w:r>
          <w:instrText>PAGE   \* MERGEFORMAT</w:instrText>
        </w:r>
        <w:r>
          <w:fldChar w:fldCharType="separate"/>
        </w:r>
        <w:r w:rsidR="0065077F">
          <w:rPr>
            <w:noProof/>
          </w:rPr>
          <w:t>4</w:t>
        </w:r>
        <w:r>
          <w:fldChar w:fldCharType="end"/>
        </w:r>
      </w:p>
    </w:sdtContent>
  </w:sdt>
  <w:p w:rsidR="00583F28" w:rsidRDefault="00583F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212" w:rsidRDefault="007F5212" w:rsidP="00583F28">
      <w:r>
        <w:separator/>
      </w:r>
    </w:p>
  </w:footnote>
  <w:footnote w:type="continuationSeparator" w:id="0">
    <w:p w:rsidR="007F5212" w:rsidRDefault="007F5212" w:rsidP="00583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F54"/>
    <w:multiLevelType w:val="hybridMultilevel"/>
    <w:tmpl w:val="4620BF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63C7CE7"/>
    <w:multiLevelType w:val="hybridMultilevel"/>
    <w:tmpl w:val="B5D67F06"/>
    <w:lvl w:ilvl="0" w:tplc="39500B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7903F7"/>
    <w:multiLevelType w:val="hybridMultilevel"/>
    <w:tmpl w:val="B1E2B3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98E2A8D"/>
    <w:multiLevelType w:val="hybridMultilevel"/>
    <w:tmpl w:val="94ACFBF0"/>
    <w:lvl w:ilvl="0" w:tplc="908257E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B411AB"/>
    <w:multiLevelType w:val="hybridMultilevel"/>
    <w:tmpl w:val="9DC044B8"/>
    <w:lvl w:ilvl="0" w:tplc="5D0866C8">
      <w:numFmt w:val="bullet"/>
      <w:lvlText w:val="-"/>
      <w:lvlJc w:val="left"/>
      <w:pPr>
        <w:ind w:left="1069" w:hanging="360"/>
      </w:pPr>
      <w:rPr>
        <w:rFonts w:ascii="Times New Roman" w:eastAsiaTheme="minorEastAsia" w:hAnsi="Times New Roman"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4E5606A9"/>
    <w:multiLevelType w:val="hybridMultilevel"/>
    <w:tmpl w:val="54E2DB4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6">
    <w:nsid w:val="5AEC4E11"/>
    <w:multiLevelType w:val="hybridMultilevel"/>
    <w:tmpl w:val="5E4C0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1967B6"/>
    <w:multiLevelType w:val="hybridMultilevel"/>
    <w:tmpl w:val="A04034C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E16467"/>
    <w:multiLevelType w:val="hybridMultilevel"/>
    <w:tmpl w:val="1530305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5F691535"/>
    <w:multiLevelType w:val="hybridMultilevel"/>
    <w:tmpl w:val="A7063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803691"/>
    <w:multiLevelType w:val="hybridMultilevel"/>
    <w:tmpl w:val="1E34305C"/>
    <w:lvl w:ilvl="0" w:tplc="FDF66258">
      <w:numFmt w:val="bullet"/>
      <w:lvlText w:val="-"/>
      <w:lvlJc w:val="left"/>
      <w:pPr>
        <w:ind w:left="1080" w:hanging="360"/>
      </w:pPr>
      <w:rPr>
        <w:rFonts w:ascii="Palatino" w:eastAsiaTheme="minorEastAsia" w:hAnsi="Palatino"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6B1B4238"/>
    <w:multiLevelType w:val="hybridMultilevel"/>
    <w:tmpl w:val="7D8A8D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1"/>
  </w:num>
  <w:num w:numId="5">
    <w:abstractNumId w:val="3"/>
  </w:num>
  <w:num w:numId="6">
    <w:abstractNumId w:val="6"/>
  </w:num>
  <w:num w:numId="7">
    <w:abstractNumId w:val="4"/>
  </w:num>
  <w:num w:numId="8">
    <w:abstractNumId w:val="5"/>
  </w:num>
  <w:num w:numId="9">
    <w:abstractNumId w:val="1"/>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C0"/>
    <w:rsid w:val="00000FCA"/>
    <w:rsid w:val="000019E9"/>
    <w:rsid w:val="00004B52"/>
    <w:rsid w:val="00013C86"/>
    <w:rsid w:val="000163A2"/>
    <w:rsid w:val="00020971"/>
    <w:rsid w:val="000221A6"/>
    <w:rsid w:val="0003309E"/>
    <w:rsid w:val="0003449F"/>
    <w:rsid w:val="00035CB7"/>
    <w:rsid w:val="00035CBE"/>
    <w:rsid w:val="00037F01"/>
    <w:rsid w:val="00042E29"/>
    <w:rsid w:val="00047B16"/>
    <w:rsid w:val="00052CA1"/>
    <w:rsid w:val="00053BF1"/>
    <w:rsid w:val="00053DA0"/>
    <w:rsid w:val="00060F8F"/>
    <w:rsid w:val="000610AB"/>
    <w:rsid w:val="00061EE2"/>
    <w:rsid w:val="00064E56"/>
    <w:rsid w:val="00065C59"/>
    <w:rsid w:val="00067217"/>
    <w:rsid w:val="00074154"/>
    <w:rsid w:val="00074EB0"/>
    <w:rsid w:val="00076345"/>
    <w:rsid w:val="00076CEC"/>
    <w:rsid w:val="00076FA1"/>
    <w:rsid w:val="00077B49"/>
    <w:rsid w:val="0008141E"/>
    <w:rsid w:val="00093FDA"/>
    <w:rsid w:val="000A37D2"/>
    <w:rsid w:val="000B1976"/>
    <w:rsid w:val="000B1B3B"/>
    <w:rsid w:val="000C07EB"/>
    <w:rsid w:val="000C0DE3"/>
    <w:rsid w:val="000C0E97"/>
    <w:rsid w:val="000D102E"/>
    <w:rsid w:val="000D35CF"/>
    <w:rsid w:val="000D4320"/>
    <w:rsid w:val="000D6C49"/>
    <w:rsid w:val="000D7104"/>
    <w:rsid w:val="000E1E22"/>
    <w:rsid w:val="000E5A19"/>
    <w:rsid w:val="000F0C9A"/>
    <w:rsid w:val="000F4D5A"/>
    <w:rsid w:val="000F5767"/>
    <w:rsid w:val="00103487"/>
    <w:rsid w:val="00104147"/>
    <w:rsid w:val="001067A7"/>
    <w:rsid w:val="00116B15"/>
    <w:rsid w:val="00117CF2"/>
    <w:rsid w:val="001201BC"/>
    <w:rsid w:val="00125AD2"/>
    <w:rsid w:val="00126446"/>
    <w:rsid w:val="00134402"/>
    <w:rsid w:val="00147652"/>
    <w:rsid w:val="00150D52"/>
    <w:rsid w:val="001571C6"/>
    <w:rsid w:val="00160ABE"/>
    <w:rsid w:val="001667AA"/>
    <w:rsid w:val="001675D0"/>
    <w:rsid w:val="0017563C"/>
    <w:rsid w:val="001775B4"/>
    <w:rsid w:val="00177D73"/>
    <w:rsid w:val="001808A1"/>
    <w:rsid w:val="00180B9B"/>
    <w:rsid w:val="0018391E"/>
    <w:rsid w:val="00192042"/>
    <w:rsid w:val="001B67C8"/>
    <w:rsid w:val="001B690F"/>
    <w:rsid w:val="001B727A"/>
    <w:rsid w:val="001C490F"/>
    <w:rsid w:val="001C6FE4"/>
    <w:rsid w:val="001D0B3D"/>
    <w:rsid w:val="001E22B6"/>
    <w:rsid w:val="001E566A"/>
    <w:rsid w:val="001F6E8B"/>
    <w:rsid w:val="00202A4E"/>
    <w:rsid w:val="00203E9D"/>
    <w:rsid w:val="0020791B"/>
    <w:rsid w:val="00207A59"/>
    <w:rsid w:val="00207DB0"/>
    <w:rsid w:val="00210388"/>
    <w:rsid w:val="00215B48"/>
    <w:rsid w:val="0021766C"/>
    <w:rsid w:val="002177E8"/>
    <w:rsid w:val="00222E52"/>
    <w:rsid w:val="00223E5B"/>
    <w:rsid w:val="002337C8"/>
    <w:rsid w:val="002345A6"/>
    <w:rsid w:val="002370D1"/>
    <w:rsid w:val="0024158D"/>
    <w:rsid w:val="00241F29"/>
    <w:rsid w:val="002460BC"/>
    <w:rsid w:val="002468DD"/>
    <w:rsid w:val="00247FA6"/>
    <w:rsid w:val="00250E17"/>
    <w:rsid w:val="002526C0"/>
    <w:rsid w:val="00254AB0"/>
    <w:rsid w:val="002645B9"/>
    <w:rsid w:val="002646CF"/>
    <w:rsid w:val="00266F4A"/>
    <w:rsid w:val="00276A24"/>
    <w:rsid w:val="00280501"/>
    <w:rsid w:val="0028467B"/>
    <w:rsid w:val="00285D29"/>
    <w:rsid w:val="00285F72"/>
    <w:rsid w:val="002978C6"/>
    <w:rsid w:val="00297BB9"/>
    <w:rsid w:val="00297E48"/>
    <w:rsid w:val="002A2C27"/>
    <w:rsid w:val="002B23C2"/>
    <w:rsid w:val="002B6D90"/>
    <w:rsid w:val="002C202D"/>
    <w:rsid w:val="002C5193"/>
    <w:rsid w:val="002C5EE5"/>
    <w:rsid w:val="002C72BC"/>
    <w:rsid w:val="002C7754"/>
    <w:rsid w:val="002D02D6"/>
    <w:rsid w:val="002D3193"/>
    <w:rsid w:val="002D5AA1"/>
    <w:rsid w:val="002D60B4"/>
    <w:rsid w:val="002D6EDC"/>
    <w:rsid w:val="002F6547"/>
    <w:rsid w:val="002F7023"/>
    <w:rsid w:val="00301391"/>
    <w:rsid w:val="00302A7C"/>
    <w:rsid w:val="00302E93"/>
    <w:rsid w:val="00306BEF"/>
    <w:rsid w:val="003103BB"/>
    <w:rsid w:val="00311197"/>
    <w:rsid w:val="00312503"/>
    <w:rsid w:val="0031268B"/>
    <w:rsid w:val="00314D8B"/>
    <w:rsid w:val="00320DCF"/>
    <w:rsid w:val="00324104"/>
    <w:rsid w:val="0032722C"/>
    <w:rsid w:val="00333B3C"/>
    <w:rsid w:val="00340A1E"/>
    <w:rsid w:val="00343C12"/>
    <w:rsid w:val="00344C83"/>
    <w:rsid w:val="0035262C"/>
    <w:rsid w:val="00360A15"/>
    <w:rsid w:val="00364CC6"/>
    <w:rsid w:val="003670A8"/>
    <w:rsid w:val="003674E9"/>
    <w:rsid w:val="0037467C"/>
    <w:rsid w:val="00376165"/>
    <w:rsid w:val="003779C9"/>
    <w:rsid w:val="003837C5"/>
    <w:rsid w:val="00384FEB"/>
    <w:rsid w:val="00385228"/>
    <w:rsid w:val="003855AC"/>
    <w:rsid w:val="00394A86"/>
    <w:rsid w:val="0039537C"/>
    <w:rsid w:val="003A1CC3"/>
    <w:rsid w:val="003A567F"/>
    <w:rsid w:val="003A65F1"/>
    <w:rsid w:val="003B5D2E"/>
    <w:rsid w:val="003B7F4D"/>
    <w:rsid w:val="003C1BBE"/>
    <w:rsid w:val="003D2C8C"/>
    <w:rsid w:val="003E508B"/>
    <w:rsid w:val="003F05AA"/>
    <w:rsid w:val="003F3BA1"/>
    <w:rsid w:val="003F5BE9"/>
    <w:rsid w:val="004010C8"/>
    <w:rsid w:val="0040649C"/>
    <w:rsid w:val="00413BC5"/>
    <w:rsid w:val="004170D1"/>
    <w:rsid w:val="00422A86"/>
    <w:rsid w:val="00422EEE"/>
    <w:rsid w:val="00423500"/>
    <w:rsid w:val="004236F0"/>
    <w:rsid w:val="004248D3"/>
    <w:rsid w:val="0042565C"/>
    <w:rsid w:val="00436002"/>
    <w:rsid w:val="00437DE6"/>
    <w:rsid w:val="00441039"/>
    <w:rsid w:val="00442240"/>
    <w:rsid w:val="00442DC9"/>
    <w:rsid w:val="00455E69"/>
    <w:rsid w:val="00462119"/>
    <w:rsid w:val="0046568B"/>
    <w:rsid w:val="004669C4"/>
    <w:rsid w:val="0047447B"/>
    <w:rsid w:val="00474A47"/>
    <w:rsid w:val="0048109D"/>
    <w:rsid w:val="004827A1"/>
    <w:rsid w:val="004927AF"/>
    <w:rsid w:val="004943B6"/>
    <w:rsid w:val="00495065"/>
    <w:rsid w:val="004A68B9"/>
    <w:rsid w:val="004B002D"/>
    <w:rsid w:val="004B66C2"/>
    <w:rsid w:val="004B74F8"/>
    <w:rsid w:val="004D1A28"/>
    <w:rsid w:val="004D40F1"/>
    <w:rsid w:val="004E0B70"/>
    <w:rsid w:val="004E3517"/>
    <w:rsid w:val="004E72EC"/>
    <w:rsid w:val="004F2D93"/>
    <w:rsid w:val="004F7CEB"/>
    <w:rsid w:val="00511422"/>
    <w:rsid w:val="00512C1E"/>
    <w:rsid w:val="00515103"/>
    <w:rsid w:val="005171FB"/>
    <w:rsid w:val="0052109C"/>
    <w:rsid w:val="005317AC"/>
    <w:rsid w:val="00536D48"/>
    <w:rsid w:val="005406E6"/>
    <w:rsid w:val="005413CB"/>
    <w:rsid w:val="00543E22"/>
    <w:rsid w:val="00550119"/>
    <w:rsid w:val="0055183C"/>
    <w:rsid w:val="005526F8"/>
    <w:rsid w:val="00553E3E"/>
    <w:rsid w:val="00567F65"/>
    <w:rsid w:val="00571B9D"/>
    <w:rsid w:val="00582788"/>
    <w:rsid w:val="00583F28"/>
    <w:rsid w:val="00584CE1"/>
    <w:rsid w:val="00586F93"/>
    <w:rsid w:val="00590CAB"/>
    <w:rsid w:val="00591D77"/>
    <w:rsid w:val="005920E2"/>
    <w:rsid w:val="005950A5"/>
    <w:rsid w:val="005961E3"/>
    <w:rsid w:val="005A703A"/>
    <w:rsid w:val="005B369B"/>
    <w:rsid w:val="005B3943"/>
    <w:rsid w:val="005B52CD"/>
    <w:rsid w:val="005B624B"/>
    <w:rsid w:val="005C105C"/>
    <w:rsid w:val="005C1B0F"/>
    <w:rsid w:val="005C1C5C"/>
    <w:rsid w:val="005C2FC1"/>
    <w:rsid w:val="005C7A95"/>
    <w:rsid w:val="005D0A6B"/>
    <w:rsid w:val="005D19E6"/>
    <w:rsid w:val="005F2FC9"/>
    <w:rsid w:val="0061031D"/>
    <w:rsid w:val="006153A9"/>
    <w:rsid w:val="006232C8"/>
    <w:rsid w:val="00623312"/>
    <w:rsid w:val="006258F2"/>
    <w:rsid w:val="00634D4F"/>
    <w:rsid w:val="00646732"/>
    <w:rsid w:val="00646B24"/>
    <w:rsid w:val="0065077F"/>
    <w:rsid w:val="00652F33"/>
    <w:rsid w:val="00663841"/>
    <w:rsid w:val="00664610"/>
    <w:rsid w:val="00671C2E"/>
    <w:rsid w:val="00671DC7"/>
    <w:rsid w:val="00672DDB"/>
    <w:rsid w:val="006806DE"/>
    <w:rsid w:val="00681F4D"/>
    <w:rsid w:val="006837C2"/>
    <w:rsid w:val="006A488E"/>
    <w:rsid w:val="006B6A31"/>
    <w:rsid w:val="006C1DFC"/>
    <w:rsid w:val="006C4AFA"/>
    <w:rsid w:val="006C59BB"/>
    <w:rsid w:val="006C7309"/>
    <w:rsid w:val="006D00C4"/>
    <w:rsid w:val="006D153C"/>
    <w:rsid w:val="006D1F77"/>
    <w:rsid w:val="006D33F4"/>
    <w:rsid w:val="006D7036"/>
    <w:rsid w:val="006E5E2B"/>
    <w:rsid w:val="006E739B"/>
    <w:rsid w:val="006F1F21"/>
    <w:rsid w:val="006F27ED"/>
    <w:rsid w:val="006F300A"/>
    <w:rsid w:val="006F7EE3"/>
    <w:rsid w:val="0070154D"/>
    <w:rsid w:val="00702EE9"/>
    <w:rsid w:val="00717D98"/>
    <w:rsid w:val="007251F1"/>
    <w:rsid w:val="00734348"/>
    <w:rsid w:val="007348F2"/>
    <w:rsid w:val="00741E8E"/>
    <w:rsid w:val="00743DA6"/>
    <w:rsid w:val="00750609"/>
    <w:rsid w:val="007542D8"/>
    <w:rsid w:val="007563B0"/>
    <w:rsid w:val="007600F6"/>
    <w:rsid w:val="00765F57"/>
    <w:rsid w:val="00767829"/>
    <w:rsid w:val="007802C5"/>
    <w:rsid w:val="007816DA"/>
    <w:rsid w:val="007868A2"/>
    <w:rsid w:val="00787183"/>
    <w:rsid w:val="00790107"/>
    <w:rsid w:val="007931B9"/>
    <w:rsid w:val="0079772B"/>
    <w:rsid w:val="0079773A"/>
    <w:rsid w:val="007A03DE"/>
    <w:rsid w:val="007A1E36"/>
    <w:rsid w:val="007A2A48"/>
    <w:rsid w:val="007A6B70"/>
    <w:rsid w:val="007A6DF2"/>
    <w:rsid w:val="007A7712"/>
    <w:rsid w:val="007B1F15"/>
    <w:rsid w:val="007B23DF"/>
    <w:rsid w:val="007C28CF"/>
    <w:rsid w:val="007C35D5"/>
    <w:rsid w:val="007D0986"/>
    <w:rsid w:val="007D0FE7"/>
    <w:rsid w:val="007D436D"/>
    <w:rsid w:val="007D452A"/>
    <w:rsid w:val="007E2441"/>
    <w:rsid w:val="007E251B"/>
    <w:rsid w:val="007E36D5"/>
    <w:rsid w:val="007E7987"/>
    <w:rsid w:val="007F3708"/>
    <w:rsid w:val="007F43E5"/>
    <w:rsid w:val="007F5045"/>
    <w:rsid w:val="007F5212"/>
    <w:rsid w:val="00804F40"/>
    <w:rsid w:val="00806D6A"/>
    <w:rsid w:val="0081277D"/>
    <w:rsid w:val="00814A1A"/>
    <w:rsid w:val="00815393"/>
    <w:rsid w:val="00815D82"/>
    <w:rsid w:val="00815DBB"/>
    <w:rsid w:val="0081740E"/>
    <w:rsid w:val="008206F4"/>
    <w:rsid w:val="008225DE"/>
    <w:rsid w:val="00823D8C"/>
    <w:rsid w:val="00826E4B"/>
    <w:rsid w:val="00833E99"/>
    <w:rsid w:val="00844970"/>
    <w:rsid w:val="008554FA"/>
    <w:rsid w:val="008566F9"/>
    <w:rsid w:val="00861898"/>
    <w:rsid w:val="008623F4"/>
    <w:rsid w:val="0086386E"/>
    <w:rsid w:val="00870896"/>
    <w:rsid w:val="00871E30"/>
    <w:rsid w:val="00881137"/>
    <w:rsid w:val="0088176B"/>
    <w:rsid w:val="00881D72"/>
    <w:rsid w:val="00886DFE"/>
    <w:rsid w:val="00893947"/>
    <w:rsid w:val="0089643D"/>
    <w:rsid w:val="0089764E"/>
    <w:rsid w:val="008A06FD"/>
    <w:rsid w:val="008A5DCC"/>
    <w:rsid w:val="008A6A71"/>
    <w:rsid w:val="008A70F1"/>
    <w:rsid w:val="008B18F6"/>
    <w:rsid w:val="008B2FF2"/>
    <w:rsid w:val="008B7280"/>
    <w:rsid w:val="008C1B67"/>
    <w:rsid w:val="008C218E"/>
    <w:rsid w:val="008D09D6"/>
    <w:rsid w:val="008D306D"/>
    <w:rsid w:val="008D678C"/>
    <w:rsid w:val="008E2514"/>
    <w:rsid w:val="00901E07"/>
    <w:rsid w:val="00903673"/>
    <w:rsid w:val="009162F1"/>
    <w:rsid w:val="0092455F"/>
    <w:rsid w:val="009310DC"/>
    <w:rsid w:val="00932880"/>
    <w:rsid w:val="00932AC9"/>
    <w:rsid w:val="00933B9E"/>
    <w:rsid w:val="009427F8"/>
    <w:rsid w:val="00942F3A"/>
    <w:rsid w:val="00943AEA"/>
    <w:rsid w:val="00946381"/>
    <w:rsid w:val="009528BE"/>
    <w:rsid w:val="00953E54"/>
    <w:rsid w:val="00955F18"/>
    <w:rsid w:val="009653D8"/>
    <w:rsid w:val="00965CD0"/>
    <w:rsid w:val="0096699A"/>
    <w:rsid w:val="00971B04"/>
    <w:rsid w:val="0097420C"/>
    <w:rsid w:val="009742B9"/>
    <w:rsid w:val="00980D4F"/>
    <w:rsid w:val="00987BE4"/>
    <w:rsid w:val="00992426"/>
    <w:rsid w:val="009A387D"/>
    <w:rsid w:val="009A5548"/>
    <w:rsid w:val="009A5A7D"/>
    <w:rsid w:val="009B0341"/>
    <w:rsid w:val="009B13C6"/>
    <w:rsid w:val="009B2FE9"/>
    <w:rsid w:val="009B3559"/>
    <w:rsid w:val="009C7ED4"/>
    <w:rsid w:val="009D0F73"/>
    <w:rsid w:val="009D19BC"/>
    <w:rsid w:val="009D2993"/>
    <w:rsid w:val="009D3778"/>
    <w:rsid w:val="009D3C7A"/>
    <w:rsid w:val="009D5A92"/>
    <w:rsid w:val="009D62B2"/>
    <w:rsid w:val="009E13B1"/>
    <w:rsid w:val="009E43EF"/>
    <w:rsid w:val="009E584E"/>
    <w:rsid w:val="009E6078"/>
    <w:rsid w:val="009E739C"/>
    <w:rsid w:val="009F4F36"/>
    <w:rsid w:val="00A14A6B"/>
    <w:rsid w:val="00A20CD2"/>
    <w:rsid w:val="00A233EF"/>
    <w:rsid w:val="00A2702F"/>
    <w:rsid w:val="00A352DB"/>
    <w:rsid w:val="00A36B78"/>
    <w:rsid w:val="00A41A7D"/>
    <w:rsid w:val="00A43047"/>
    <w:rsid w:val="00A436B9"/>
    <w:rsid w:val="00A51E4C"/>
    <w:rsid w:val="00A51E9B"/>
    <w:rsid w:val="00A55AA3"/>
    <w:rsid w:val="00A55CC2"/>
    <w:rsid w:val="00A55DFE"/>
    <w:rsid w:val="00A719FB"/>
    <w:rsid w:val="00A832ED"/>
    <w:rsid w:val="00A8502B"/>
    <w:rsid w:val="00A909C9"/>
    <w:rsid w:val="00A91A3D"/>
    <w:rsid w:val="00AA443E"/>
    <w:rsid w:val="00AA6344"/>
    <w:rsid w:val="00AB0F63"/>
    <w:rsid w:val="00AB370D"/>
    <w:rsid w:val="00AC1381"/>
    <w:rsid w:val="00AC389B"/>
    <w:rsid w:val="00AC4208"/>
    <w:rsid w:val="00AC5BC9"/>
    <w:rsid w:val="00AD712F"/>
    <w:rsid w:val="00AE40F3"/>
    <w:rsid w:val="00AF1517"/>
    <w:rsid w:val="00AF3D55"/>
    <w:rsid w:val="00AF60B8"/>
    <w:rsid w:val="00B00BFD"/>
    <w:rsid w:val="00B01E2D"/>
    <w:rsid w:val="00B02BFA"/>
    <w:rsid w:val="00B0750D"/>
    <w:rsid w:val="00B10F08"/>
    <w:rsid w:val="00B158F9"/>
    <w:rsid w:val="00B2105A"/>
    <w:rsid w:val="00B24064"/>
    <w:rsid w:val="00B274AB"/>
    <w:rsid w:val="00B274E5"/>
    <w:rsid w:val="00B336C1"/>
    <w:rsid w:val="00B34F7B"/>
    <w:rsid w:val="00B35101"/>
    <w:rsid w:val="00B51F5F"/>
    <w:rsid w:val="00B6389B"/>
    <w:rsid w:val="00B665A8"/>
    <w:rsid w:val="00B750EF"/>
    <w:rsid w:val="00B860C6"/>
    <w:rsid w:val="00B93BCF"/>
    <w:rsid w:val="00BA7023"/>
    <w:rsid w:val="00BB081F"/>
    <w:rsid w:val="00BB0F47"/>
    <w:rsid w:val="00BB171B"/>
    <w:rsid w:val="00BB222A"/>
    <w:rsid w:val="00BC3A97"/>
    <w:rsid w:val="00BC52F6"/>
    <w:rsid w:val="00BD4F51"/>
    <w:rsid w:val="00BD6524"/>
    <w:rsid w:val="00BD788C"/>
    <w:rsid w:val="00BE6966"/>
    <w:rsid w:val="00BE7A84"/>
    <w:rsid w:val="00BF00EF"/>
    <w:rsid w:val="00BF1C27"/>
    <w:rsid w:val="00BF245E"/>
    <w:rsid w:val="00BF26C5"/>
    <w:rsid w:val="00BF38E5"/>
    <w:rsid w:val="00BF5404"/>
    <w:rsid w:val="00BF5FD4"/>
    <w:rsid w:val="00C20539"/>
    <w:rsid w:val="00C20BD3"/>
    <w:rsid w:val="00C212C2"/>
    <w:rsid w:val="00C21AAE"/>
    <w:rsid w:val="00C253E5"/>
    <w:rsid w:val="00C27F5E"/>
    <w:rsid w:val="00C34721"/>
    <w:rsid w:val="00C4161C"/>
    <w:rsid w:val="00C43A8B"/>
    <w:rsid w:val="00C46B65"/>
    <w:rsid w:val="00C51204"/>
    <w:rsid w:val="00C52FB4"/>
    <w:rsid w:val="00C66378"/>
    <w:rsid w:val="00C66BA5"/>
    <w:rsid w:val="00C700E0"/>
    <w:rsid w:val="00C767B7"/>
    <w:rsid w:val="00C76C1C"/>
    <w:rsid w:val="00C8157C"/>
    <w:rsid w:val="00C81951"/>
    <w:rsid w:val="00C87AFF"/>
    <w:rsid w:val="00C87D43"/>
    <w:rsid w:val="00C96DF3"/>
    <w:rsid w:val="00CA2A23"/>
    <w:rsid w:val="00CA348F"/>
    <w:rsid w:val="00CA48F3"/>
    <w:rsid w:val="00CA51B8"/>
    <w:rsid w:val="00CB27A3"/>
    <w:rsid w:val="00CB3E09"/>
    <w:rsid w:val="00CB5930"/>
    <w:rsid w:val="00CD2737"/>
    <w:rsid w:val="00CD470E"/>
    <w:rsid w:val="00CD533B"/>
    <w:rsid w:val="00CE2406"/>
    <w:rsid w:val="00CE5A89"/>
    <w:rsid w:val="00CF13EE"/>
    <w:rsid w:val="00CF3859"/>
    <w:rsid w:val="00CF535B"/>
    <w:rsid w:val="00D00EBC"/>
    <w:rsid w:val="00D0171D"/>
    <w:rsid w:val="00D01B7D"/>
    <w:rsid w:val="00D052F0"/>
    <w:rsid w:val="00D06C44"/>
    <w:rsid w:val="00D11266"/>
    <w:rsid w:val="00D12555"/>
    <w:rsid w:val="00D12B61"/>
    <w:rsid w:val="00D14862"/>
    <w:rsid w:val="00D2524F"/>
    <w:rsid w:val="00D25A7F"/>
    <w:rsid w:val="00D2620F"/>
    <w:rsid w:val="00D2798B"/>
    <w:rsid w:val="00D31E69"/>
    <w:rsid w:val="00D33EC1"/>
    <w:rsid w:val="00D46736"/>
    <w:rsid w:val="00D50FE9"/>
    <w:rsid w:val="00D56CC5"/>
    <w:rsid w:val="00D60D22"/>
    <w:rsid w:val="00D66493"/>
    <w:rsid w:val="00D710A3"/>
    <w:rsid w:val="00D805A1"/>
    <w:rsid w:val="00D81452"/>
    <w:rsid w:val="00D83DB1"/>
    <w:rsid w:val="00D85892"/>
    <w:rsid w:val="00D933E1"/>
    <w:rsid w:val="00D9448D"/>
    <w:rsid w:val="00D9455D"/>
    <w:rsid w:val="00D96019"/>
    <w:rsid w:val="00D96FCB"/>
    <w:rsid w:val="00DA28CD"/>
    <w:rsid w:val="00DC319D"/>
    <w:rsid w:val="00DD3BF4"/>
    <w:rsid w:val="00DE5CA4"/>
    <w:rsid w:val="00DE7BB5"/>
    <w:rsid w:val="00DF049D"/>
    <w:rsid w:val="00DF09FE"/>
    <w:rsid w:val="00DF1227"/>
    <w:rsid w:val="00E03EFB"/>
    <w:rsid w:val="00E04495"/>
    <w:rsid w:val="00E059D7"/>
    <w:rsid w:val="00E05EBF"/>
    <w:rsid w:val="00E1027D"/>
    <w:rsid w:val="00E10C71"/>
    <w:rsid w:val="00E11F80"/>
    <w:rsid w:val="00E12CC9"/>
    <w:rsid w:val="00E16BF9"/>
    <w:rsid w:val="00E216E5"/>
    <w:rsid w:val="00E2545B"/>
    <w:rsid w:val="00E25616"/>
    <w:rsid w:val="00E31004"/>
    <w:rsid w:val="00E33CCE"/>
    <w:rsid w:val="00E4133E"/>
    <w:rsid w:val="00E41BAE"/>
    <w:rsid w:val="00E41DE4"/>
    <w:rsid w:val="00E4601F"/>
    <w:rsid w:val="00E553CD"/>
    <w:rsid w:val="00E57BDD"/>
    <w:rsid w:val="00E62AFF"/>
    <w:rsid w:val="00E63B50"/>
    <w:rsid w:val="00E65F4B"/>
    <w:rsid w:val="00E66E3E"/>
    <w:rsid w:val="00E70B75"/>
    <w:rsid w:val="00E71F10"/>
    <w:rsid w:val="00E735DD"/>
    <w:rsid w:val="00E748DA"/>
    <w:rsid w:val="00E76D5A"/>
    <w:rsid w:val="00E77E59"/>
    <w:rsid w:val="00E86961"/>
    <w:rsid w:val="00E94CAF"/>
    <w:rsid w:val="00EA1098"/>
    <w:rsid w:val="00EB4856"/>
    <w:rsid w:val="00EB7EFD"/>
    <w:rsid w:val="00EC18B1"/>
    <w:rsid w:val="00EC6C5E"/>
    <w:rsid w:val="00ED72FD"/>
    <w:rsid w:val="00EF6AF2"/>
    <w:rsid w:val="00F0155E"/>
    <w:rsid w:val="00F01E02"/>
    <w:rsid w:val="00F112C3"/>
    <w:rsid w:val="00F12C41"/>
    <w:rsid w:val="00F163E3"/>
    <w:rsid w:val="00F25119"/>
    <w:rsid w:val="00F33D09"/>
    <w:rsid w:val="00F41C4B"/>
    <w:rsid w:val="00F44BE4"/>
    <w:rsid w:val="00F46753"/>
    <w:rsid w:val="00F52040"/>
    <w:rsid w:val="00F53CF9"/>
    <w:rsid w:val="00F541D4"/>
    <w:rsid w:val="00F727A8"/>
    <w:rsid w:val="00F73232"/>
    <w:rsid w:val="00F77016"/>
    <w:rsid w:val="00F8370F"/>
    <w:rsid w:val="00F924F7"/>
    <w:rsid w:val="00F96EE9"/>
    <w:rsid w:val="00FA79A4"/>
    <w:rsid w:val="00FB1DDB"/>
    <w:rsid w:val="00FB466F"/>
    <w:rsid w:val="00FC2117"/>
    <w:rsid w:val="00FD7904"/>
    <w:rsid w:val="00FE1DF4"/>
    <w:rsid w:val="00FF358D"/>
    <w:rsid w:val="00FF78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E52"/>
    <w:pPr>
      <w:ind w:left="720"/>
      <w:contextualSpacing/>
    </w:pPr>
  </w:style>
  <w:style w:type="paragraph" w:styleId="Intestazione">
    <w:name w:val="header"/>
    <w:basedOn w:val="Normale"/>
    <w:link w:val="IntestazioneCarattere"/>
    <w:uiPriority w:val="99"/>
    <w:unhideWhenUsed/>
    <w:rsid w:val="00583F28"/>
    <w:pPr>
      <w:tabs>
        <w:tab w:val="center" w:pos="4819"/>
        <w:tab w:val="right" w:pos="9638"/>
      </w:tabs>
    </w:pPr>
  </w:style>
  <w:style w:type="character" w:customStyle="1" w:styleId="IntestazioneCarattere">
    <w:name w:val="Intestazione Carattere"/>
    <w:basedOn w:val="Carpredefinitoparagrafo"/>
    <w:link w:val="Intestazione"/>
    <w:uiPriority w:val="99"/>
    <w:rsid w:val="00583F28"/>
  </w:style>
  <w:style w:type="paragraph" w:styleId="Pidipagina">
    <w:name w:val="footer"/>
    <w:basedOn w:val="Normale"/>
    <w:link w:val="PidipaginaCarattere"/>
    <w:uiPriority w:val="99"/>
    <w:unhideWhenUsed/>
    <w:rsid w:val="00583F28"/>
    <w:pPr>
      <w:tabs>
        <w:tab w:val="center" w:pos="4819"/>
        <w:tab w:val="right" w:pos="9638"/>
      </w:tabs>
    </w:pPr>
  </w:style>
  <w:style w:type="character" w:customStyle="1" w:styleId="PidipaginaCarattere">
    <w:name w:val="Piè di pagina Carattere"/>
    <w:basedOn w:val="Carpredefinitoparagrafo"/>
    <w:link w:val="Pidipagina"/>
    <w:uiPriority w:val="99"/>
    <w:rsid w:val="00583F28"/>
  </w:style>
  <w:style w:type="paragraph" w:styleId="Testofumetto">
    <w:name w:val="Balloon Text"/>
    <w:basedOn w:val="Normale"/>
    <w:link w:val="TestofumettoCarattere"/>
    <w:uiPriority w:val="99"/>
    <w:semiHidden/>
    <w:unhideWhenUsed/>
    <w:rsid w:val="00583F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F28"/>
    <w:rPr>
      <w:rFonts w:ascii="Tahoma" w:hAnsi="Tahoma" w:cs="Tahoma"/>
      <w:sz w:val="16"/>
      <w:szCs w:val="16"/>
    </w:rPr>
  </w:style>
  <w:style w:type="paragraph" w:styleId="NormaleWeb">
    <w:name w:val="Normal (Web)"/>
    <w:basedOn w:val="Normale"/>
    <w:uiPriority w:val="99"/>
    <w:unhideWhenUsed/>
    <w:rsid w:val="0065077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2E52"/>
    <w:pPr>
      <w:ind w:left="720"/>
      <w:contextualSpacing/>
    </w:pPr>
  </w:style>
  <w:style w:type="paragraph" w:styleId="Intestazione">
    <w:name w:val="header"/>
    <w:basedOn w:val="Normale"/>
    <w:link w:val="IntestazioneCarattere"/>
    <w:uiPriority w:val="99"/>
    <w:unhideWhenUsed/>
    <w:rsid w:val="00583F28"/>
    <w:pPr>
      <w:tabs>
        <w:tab w:val="center" w:pos="4819"/>
        <w:tab w:val="right" w:pos="9638"/>
      </w:tabs>
    </w:pPr>
  </w:style>
  <w:style w:type="character" w:customStyle="1" w:styleId="IntestazioneCarattere">
    <w:name w:val="Intestazione Carattere"/>
    <w:basedOn w:val="Carpredefinitoparagrafo"/>
    <w:link w:val="Intestazione"/>
    <w:uiPriority w:val="99"/>
    <w:rsid w:val="00583F28"/>
  </w:style>
  <w:style w:type="paragraph" w:styleId="Pidipagina">
    <w:name w:val="footer"/>
    <w:basedOn w:val="Normale"/>
    <w:link w:val="PidipaginaCarattere"/>
    <w:uiPriority w:val="99"/>
    <w:unhideWhenUsed/>
    <w:rsid w:val="00583F28"/>
    <w:pPr>
      <w:tabs>
        <w:tab w:val="center" w:pos="4819"/>
        <w:tab w:val="right" w:pos="9638"/>
      </w:tabs>
    </w:pPr>
  </w:style>
  <w:style w:type="character" w:customStyle="1" w:styleId="PidipaginaCarattere">
    <w:name w:val="Piè di pagina Carattere"/>
    <w:basedOn w:val="Carpredefinitoparagrafo"/>
    <w:link w:val="Pidipagina"/>
    <w:uiPriority w:val="99"/>
    <w:rsid w:val="00583F28"/>
  </w:style>
  <w:style w:type="paragraph" w:styleId="Testofumetto">
    <w:name w:val="Balloon Text"/>
    <w:basedOn w:val="Normale"/>
    <w:link w:val="TestofumettoCarattere"/>
    <w:uiPriority w:val="99"/>
    <w:semiHidden/>
    <w:unhideWhenUsed/>
    <w:rsid w:val="00583F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F28"/>
    <w:rPr>
      <w:rFonts w:ascii="Tahoma" w:hAnsi="Tahoma" w:cs="Tahoma"/>
      <w:sz w:val="16"/>
      <w:szCs w:val="16"/>
    </w:rPr>
  </w:style>
  <w:style w:type="paragraph" w:styleId="NormaleWeb">
    <w:name w:val="Normal (Web)"/>
    <w:basedOn w:val="Normale"/>
    <w:uiPriority w:val="99"/>
    <w:unhideWhenUsed/>
    <w:rsid w:val="006507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1C45-5FE0-4A4F-85E8-5E65DAAD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8189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Riva Crugnola Elena</cp:lastModifiedBy>
  <cp:revision>3</cp:revision>
  <cp:lastPrinted>2016-05-23T08:46:00Z</cp:lastPrinted>
  <dcterms:created xsi:type="dcterms:W3CDTF">2016-05-23T08:46:00Z</dcterms:created>
  <dcterms:modified xsi:type="dcterms:W3CDTF">2016-05-23T10:18:00Z</dcterms:modified>
</cp:coreProperties>
</file>