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DD4" w:rsidRDefault="009D2DD4" w:rsidP="009D2DD4">
      <w:pPr>
        <w:pStyle w:val="NormaleWeb"/>
        <w:kinsoku w:val="0"/>
        <w:overflowPunct w:val="0"/>
        <w:spacing w:before="0" w:beforeAutospacing="0" w:after="0" w:afterAutospacing="0"/>
        <w:ind w:firstLine="418"/>
        <w:jc w:val="center"/>
        <w:textAlignment w:val="baseline"/>
      </w:pPr>
      <w:r w:rsidRPr="00FD3BAC">
        <w:rPr>
          <w:noProof/>
          <w:sz w:val="40"/>
          <w:szCs w:val="40"/>
        </w:rPr>
        <w:drawing>
          <wp:anchor distT="0" distB="0" distL="114300" distR="114300" simplePos="0" relativeHeight="251659264" behindDoc="1" locked="0" layoutInCell="1" allowOverlap="1" wp14:anchorId="12EB5CCB" wp14:editId="6A53A080">
            <wp:simplePos x="0" y="0"/>
            <wp:positionH relativeFrom="column">
              <wp:posOffset>-598170</wp:posOffset>
            </wp:positionH>
            <wp:positionV relativeFrom="paragraph">
              <wp:posOffset>6985</wp:posOffset>
            </wp:positionV>
            <wp:extent cx="1002030" cy="815340"/>
            <wp:effectExtent l="0" t="0" r="7620" b="3810"/>
            <wp:wrapTight wrapText="bothSides">
              <wp:wrapPolygon edited="0">
                <wp:start x="8213" y="0"/>
                <wp:lineTo x="0" y="5551"/>
                <wp:lineTo x="0" y="17159"/>
                <wp:lineTo x="7802" y="21196"/>
                <wp:lineTo x="9445" y="21196"/>
                <wp:lineTo x="13141" y="21196"/>
                <wp:lineTo x="13551" y="21196"/>
                <wp:lineTo x="21354" y="15645"/>
                <wp:lineTo x="21354" y="4542"/>
                <wp:lineTo x="19711" y="3533"/>
                <wp:lineTo x="11909" y="0"/>
                <wp:lineTo x="8213" y="0"/>
              </wp:wrapPolygon>
            </wp:wrapTight>
            <wp:docPr id="205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2030" cy="815340"/>
                    </a:xfrm>
                    <a:prstGeom prst="rect">
                      <a:avLst/>
                    </a:prstGeom>
                    <a:noFill/>
                    <a:extLst/>
                  </pic:spPr>
                </pic:pic>
              </a:graphicData>
            </a:graphic>
            <wp14:sizeRelH relativeFrom="margin">
              <wp14:pctWidth>0</wp14:pctWidth>
            </wp14:sizeRelH>
            <wp14:sizeRelV relativeFrom="margin">
              <wp14:pctHeight>0</wp14:pctHeight>
            </wp14:sizeRelV>
          </wp:anchor>
        </w:drawing>
      </w:r>
      <w:r w:rsidRPr="00987517">
        <w:rPr>
          <w:rFonts w:asciiTheme="majorHAnsi" w:eastAsia="Arial" w:hAnsi="Arial" w:cs="Arial"/>
          <w:color w:val="CC6600"/>
          <w:sz w:val="48"/>
          <w:szCs w:val="48"/>
          <w14:shadow w14:blurRad="38100" w14:dist="38100" w14:dir="2700000" w14:sx="100000" w14:sy="100000" w14:kx="0" w14:ky="0" w14:algn="tl">
            <w14:srgbClr w14:val="000000">
              <w14:alpha w14:val="57000"/>
            </w14:srgbClr>
          </w14:shadow>
        </w:rPr>
        <w:t>OSSERVATORIO SULLA GIUSTIZIA CIVILE</w:t>
      </w:r>
    </w:p>
    <w:p w:rsidR="009D2DD4" w:rsidRDefault="009D2DD4" w:rsidP="009D2DD4">
      <w:pPr>
        <w:pStyle w:val="NormaleWeb"/>
        <w:kinsoku w:val="0"/>
        <w:overflowPunct w:val="0"/>
        <w:spacing w:before="0" w:beforeAutospacing="0" w:after="0" w:afterAutospacing="0"/>
        <w:ind w:firstLine="418"/>
        <w:jc w:val="center"/>
        <w:textAlignment w:val="baseline"/>
      </w:pPr>
      <w:r w:rsidRPr="00987517">
        <w:rPr>
          <w:rFonts w:asciiTheme="majorHAnsi" w:eastAsia="Arial" w:hAnsi="Arial" w:cs="Arial"/>
          <w:color w:val="CC6600"/>
          <w:sz w:val="48"/>
          <w:szCs w:val="48"/>
          <w14:shadow w14:blurRad="38100" w14:dist="38100" w14:dir="2700000" w14:sx="100000" w14:sy="100000" w14:kx="0" w14:ky="0" w14:algn="tl">
            <w14:srgbClr w14:val="000000">
              <w14:alpha w14:val="57000"/>
            </w14:srgbClr>
          </w14:shadow>
        </w:rPr>
        <w:t>DI MILANO</w:t>
      </w:r>
    </w:p>
    <w:p w:rsidR="009D2DD4" w:rsidRDefault="009D2DD4" w:rsidP="009D2DD4">
      <w:pPr>
        <w:pStyle w:val="NormaleWeb"/>
        <w:kinsoku w:val="0"/>
        <w:overflowPunct w:val="0"/>
        <w:spacing w:before="0" w:beforeAutospacing="0" w:after="0" w:afterAutospacing="0"/>
        <w:ind w:firstLine="418"/>
        <w:jc w:val="center"/>
        <w:textAlignment w:val="baseline"/>
        <w:rPr>
          <w:rFonts w:ascii="Roboto" w:eastAsia="Roboto" w:hAnsi="Roboto" w:cs="Roboto"/>
          <w:b/>
          <w:bCs/>
          <w:color w:val="000000" w:themeColor="text1" w:themeShade="BF"/>
          <w:sz w:val="48"/>
          <w:szCs w:val="48"/>
        </w:rPr>
      </w:pPr>
      <w:r w:rsidRPr="00987517">
        <w:rPr>
          <w:rFonts w:asciiTheme="majorHAnsi" w:eastAsia="Arial" w:hAnsi="Arial" w:cs="Arial"/>
          <w:color w:val="CC6600"/>
          <w:sz w:val="40"/>
          <w:szCs w:val="40"/>
          <w14:shadow w14:blurRad="38100" w14:dist="38100" w14:dir="2700000" w14:sx="100000" w14:sy="100000" w14:kx="0" w14:ky="0" w14:algn="tl">
            <w14:srgbClr w14:val="000000">
              <w14:alpha w14:val="57000"/>
            </w14:srgbClr>
          </w14:shadow>
        </w:rPr>
        <w:t xml:space="preserve"> </w:t>
      </w:r>
      <w:r>
        <w:rPr>
          <w:rFonts w:ascii="Roboto" w:eastAsia="Roboto" w:hAnsi="Roboto" w:cs="Roboto"/>
          <w:b/>
          <w:bCs/>
          <w:color w:val="000000" w:themeColor="text1" w:themeShade="BF"/>
          <w:sz w:val="32"/>
          <w:szCs w:val="32"/>
        </w:rPr>
        <w:t xml:space="preserve">Gruppo Danno alla Persona </w:t>
      </w:r>
      <w:r w:rsidRPr="00947D92">
        <w:rPr>
          <w:rFonts w:ascii="Roboto" w:eastAsia="Roboto" w:hAnsi="Roboto" w:cs="Roboto"/>
          <w:b/>
          <w:bCs/>
          <w:color w:val="000000" w:themeColor="text1" w:themeShade="BF"/>
          <w:sz w:val="32"/>
          <w:szCs w:val="32"/>
        </w:rPr>
        <w:t>Gruppo</w:t>
      </w:r>
      <w:r>
        <w:rPr>
          <w:rFonts w:ascii="Roboto" w:eastAsia="Roboto" w:hAnsi="Roboto" w:cs="Roboto"/>
          <w:b/>
          <w:bCs/>
          <w:color w:val="000000" w:themeColor="text1" w:themeShade="BF"/>
          <w:sz w:val="32"/>
          <w:szCs w:val="32"/>
        </w:rPr>
        <w:t xml:space="preserve"> «</w:t>
      </w:r>
      <w:r>
        <w:rPr>
          <w:rFonts w:ascii="Roboto" w:eastAsia="Roboto" w:hAnsi="Roboto" w:cs="Roboto"/>
          <w:b/>
          <w:bCs/>
          <w:color w:val="000000" w:themeColor="text1" w:themeShade="BF"/>
          <w:sz w:val="32"/>
          <w:szCs w:val="32"/>
        </w:rPr>
        <w:t>Cinque</w:t>
      </w:r>
      <w:r>
        <w:rPr>
          <w:rFonts w:ascii="Roboto" w:eastAsia="Roboto" w:hAnsi="Roboto" w:cs="Roboto"/>
          <w:b/>
          <w:bCs/>
          <w:color w:val="000000" w:themeColor="text1" w:themeShade="BF"/>
          <w:sz w:val="48"/>
          <w:szCs w:val="48"/>
        </w:rPr>
        <w:t>»</w:t>
      </w:r>
    </w:p>
    <w:p w:rsidR="009D2DD4" w:rsidRDefault="009D2DD4" w:rsidP="009D2DD4">
      <w:pPr>
        <w:spacing w:line="360" w:lineRule="atLeast"/>
        <w:jc w:val="center"/>
        <w:rPr>
          <w:rFonts w:ascii="Century Gothic" w:hAnsi="Century Gothic"/>
          <w:b/>
          <w:sz w:val="24"/>
          <w:u w:val="single"/>
        </w:rPr>
      </w:pPr>
    </w:p>
    <w:p w:rsidR="009D2DD4" w:rsidRPr="00C95DD7" w:rsidRDefault="009D2DD4" w:rsidP="009D2DD4">
      <w:pPr>
        <w:spacing w:line="360" w:lineRule="atLeast"/>
        <w:jc w:val="center"/>
        <w:rPr>
          <w:b/>
          <w:sz w:val="24"/>
        </w:rPr>
      </w:pPr>
      <w:r w:rsidRPr="00C95DD7">
        <w:rPr>
          <w:rFonts w:ascii="Century Gothic" w:hAnsi="Century Gothic"/>
          <w:b/>
          <w:sz w:val="24"/>
        </w:rPr>
        <w:t>DANNO DIFFERENZIALE-INCREMENTATIVO IN RESPONSABILITA’ CIVILE – ASPETTI MEDICO LEGALI -</w:t>
      </w:r>
    </w:p>
    <w:p w:rsidR="009D2DD4" w:rsidRDefault="009D2DD4" w:rsidP="009D2DD4">
      <w:pPr>
        <w:spacing w:line="360" w:lineRule="atLeast"/>
        <w:jc w:val="center"/>
        <w:rPr>
          <w:b/>
          <w:sz w:val="24"/>
        </w:rPr>
      </w:pPr>
      <w:r>
        <w:rPr>
          <w:b/>
          <w:sz w:val="24"/>
        </w:rPr>
        <w:t>***</w:t>
      </w:r>
    </w:p>
    <w:p w:rsidR="009D2DD4" w:rsidRDefault="009D2DD4" w:rsidP="009D2DD4">
      <w:pPr>
        <w:spacing w:line="360" w:lineRule="atLeast"/>
        <w:jc w:val="center"/>
        <w:rPr>
          <w:b/>
          <w:sz w:val="24"/>
        </w:rPr>
      </w:pPr>
    </w:p>
    <w:p w:rsidR="009D2DD4" w:rsidRDefault="009D2DD4" w:rsidP="009D2DD4">
      <w:pPr>
        <w:spacing w:line="400" w:lineRule="atLeast"/>
        <w:ind w:left="-993" w:right="-567"/>
        <w:jc w:val="both"/>
        <w:rPr>
          <w:rFonts w:ascii="Century Gothic" w:hAnsi="Century Gothic"/>
          <w:sz w:val="24"/>
        </w:rPr>
      </w:pPr>
      <w:r>
        <w:rPr>
          <w:rFonts w:ascii="Century Gothic" w:hAnsi="Century Gothic"/>
          <w:sz w:val="24"/>
        </w:rPr>
        <w:t xml:space="preserve">Nello stato anteriore della persona possono rilevarsi menomazioni coesistenti o concorrenti rispetto alla menomazione di cui trattasi: è coesistente quella che interessa un distretto </w:t>
      </w:r>
      <w:proofErr w:type="spellStart"/>
      <w:r>
        <w:rPr>
          <w:rFonts w:ascii="Century Gothic" w:hAnsi="Century Gothic"/>
          <w:sz w:val="24"/>
        </w:rPr>
        <w:t>anatomo</w:t>
      </w:r>
      <w:proofErr w:type="spellEnd"/>
      <w:r>
        <w:rPr>
          <w:rFonts w:ascii="Century Gothic" w:hAnsi="Century Gothic"/>
          <w:sz w:val="24"/>
        </w:rPr>
        <w:t>-funzionale diverso da quello colpito dalla nuova lesione; e concorrente la menomazione che interessa lo stesso distretto.</w:t>
      </w:r>
    </w:p>
    <w:p w:rsidR="009D2DD4" w:rsidRDefault="009D2DD4" w:rsidP="009D2DD4">
      <w:pPr>
        <w:spacing w:line="400" w:lineRule="atLeast"/>
        <w:ind w:left="-993" w:right="-567"/>
        <w:jc w:val="both"/>
        <w:rPr>
          <w:rFonts w:ascii="Century Gothic" w:hAnsi="Century Gothic"/>
          <w:sz w:val="24"/>
        </w:rPr>
      </w:pPr>
    </w:p>
    <w:p w:rsidR="009D2DD4" w:rsidRDefault="009D2DD4" w:rsidP="009D2DD4">
      <w:pPr>
        <w:spacing w:line="400" w:lineRule="atLeast"/>
        <w:ind w:left="-993" w:right="-567"/>
        <w:jc w:val="both"/>
        <w:rPr>
          <w:rFonts w:ascii="Century Gothic" w:hAnsi="Century Gothic"/>
          <w:sz w:val="24"/>
        </w:rPr>
      </w:pPr>
      <w:r>
        <w:rPr>
          <w:rFonts w:ascii="Century Gothic" w:hAnsi="Century Gothic"/>
          <w:sz w:val="24"/>
        </w:rPr>
        <w:t xml:space="preserve">Il distinguo fra menomazioni coesistenti e concorrenti è sempre stato posto dalla dottrina medico-legale; e  risulta ora previsto dal Legislatore nel Codice delle Assicurazioni (D.Lgs.n.209/2005). Segnatamente, il distinguo lo si evince nel sotto-capitolo Menomazioni Preesistenti nell’ambito Criteri Applicativi della Tabella delle Menomazioni Psicofisiche comprese fra 1 e 9 punti di Invalidità (decreto 03.07.2003); ed anche nei Criteri Applicativi stessi della tabella delle menomazioni comprese fra 10 e 100 punti di cui all’art. 138 del Decreto. Nel sotto-capitolo si dice espressamente che le indicazioni date dalle tabelle medico legali, nel caso in cui la menomazione di cui trattasi interessi organi o apparati già sede di patologie od esiti di patologie, devono essere modificate a seconda che l’interazione fra menomazione e preesistenza aumenti ovvero diminuisca  il danno da lesione rispetto ai valori medi previsti nel </w:t>
      </w:r>
      <w:proofErr w:type="spellStart"/>
      <w:r w:rsidRPr="0050763D">
        <w:rPr>
          <w:rFonts w:ascii="Century Gothic" w:hAnsi="Century Gothic"/>
          <w:i/>
          <w:sz w:val="24"/>
        </w:rPr>
        <w:t>barème</w:t>
      </w:r>
      <w:proofErr w:type="spellEnd"/>
      <w:r>
        <w:rPr>
          <w:rFonts w:ascii="Century Gothic" w:hAnsi="Century Gothic"/>
          <w:sz w:val="24"/>
        </w:rPr>
        <w:t>.</w:t>
      </w:r>
    </w:p>
    <w:p w:rsidR="009D2DD4" w:rsidRDefault="009D2DD4" w:rsidP="009D2DD4">
      <w:pPr>
        <w:spacing w:line="400" w:lineRule="atLeast"/>
        <w:ind w:left="-993" w:right="-567"/>
        <w:jc w:val="both"/>
        <w:rPr>
          <w:rFonts w:ascii="Century Gothic" w:hAnsi="Century Gothic"/>
          <w:sz w:val="24"/>
        </w:rPr>
      </w:pPr>
    </w:p>
    <w:p w:rsidR="009D2DD4" w:rsidRPr="009D2DD4" w:rsidRDefault="009D2DD4" w:rsidP="009D2DD4">
      <w:pPr>
        <w:spacing w:line="400" w:lineRule="atLeast"/>
        <w:ind w:left="-993" w:right="-567"/>
        <w:jc w:val="both"/>
        <w:rPr>
          <w:rFonts w:ascii="Century Gothic" w:hAnsi="Century Gothic"/>
          <w:sz w:val="24"/>
        </w:rPr>
      </w:pPr>
      <w:r>
        <w:rPr>
          <w:rFonts w:ascii="Century Gothic" w:hAnsi="Century Gothic"/>
          <w:sz w:val="24"/>
        </w:rPr>
        <w:t>Il “superamento” del distinguo, è praticabile  applicando una netta, rigida separazione fra coesistenze e concorrenze. Nel senso che queste ultime sono tali solo se si sovrappongono sul “medesimo” distretto anatomico-funzionale. Tale per cui, per intenderci, la menomazione ad una mano in soggetto paraplegico, NON è concorrente pur essendo vero che, di fatto, la persona presenta un’ulteriore negativa ricaduta per difficoltà nello spingere la carrozzina a ruote .</w:t>
      </w:r>
    </w:p>
    <w:p w:rsidR="009D2DD4" w:rsidRPr="00E108CC" w:rsidRDefault="009D2DD4" w:rsidP="009D2DD4">
      <w:pPr>
        <w:spacing w:line="360" w:lineRule="auto"/>
        <w:ind w:left="-993" w:right="-567"/>
        <w:jc w:val="both"/>
        <w:rPr>
          <w:rFonts w:ascii="Century Gothic" w:hAnsi="Century Gothic"/>
          <w:sz w:val="24"/>
          <w:szCs w:val="24"/>
        </w:rPr>
      </w:pPr>
      <w:r>
        <w:rPr>
          <w:rFonts w:ascii="Century Gothic" w:hAnsi="Century Gothic"/>
          <w:sz w:val="24"/>
          <w:szCs w:val="24"/>
        </w:rPr>
        <w:lastRenderedPageBreak/>
        <w:t>Posto che, per volontà del Legislatore</w:t>
      </w:r>
      <w:r w:rsidRPr="00E108CC">
        <w:rPr>
          <w:rFonts w:ascii="Century Gothic" w:hAnsi="Century Gothic"/>
          <w:sz w:val="24"/>
          <w:szCs w:val="24"/>
        </w:rPr>
        <w:t>, a fronte di menomazioni concorrenti le indicazioni date dalle tabelle di legge dovranno essere modificate</w:t>
      </w:r>
      <w:r>
        <w:rPr>
          <w:rFonts w:ascii="Century Gothic" w:hAnsi="Century Gothic"/>
          <w:sz w:val="24"/>
          <w:szCs w:val="24"/>
        </w:rPr>
        <w:t xml:space="preserve"> nel senso anzidetto</w:t>
      </w:r>
      <w:r w:rsidRPr="00E108CC">
        <w:rPr>
          <w:rFonts w:ascii="Century Gothic" w:hAnsi="Century Gothic"/>
          <w:sz w:val="24"/>
          <w:szCs w:val="24"/>
        </w:rPr>
        <w:t>, si tratterà di stabilire  come andranno apportate</w:t>
      </w:r>
      <w:r>
        <w:rPr>
          <w:rFonts w:ascii="Century Gothic" w:hAnsi="Century Gothic"/>
          <w:sz w:val="24"/>
          <w:szCs w:val="24"/>
        </w:rPr>
        <w:t>,</w:t>
      </w:r>
      <w:r w:rsidRPr="00E108CC">
        <w:rPr>
          <w:rFonts w:ascii="Century Gothic" w:hAnsi="Century Gothic"/>
          <w:sz w:val="24"/>
          <w:szCs w:val="24"/>
        </w:rPr>
        <w:t xml:space="preserve"> sul piano medico legale, tali modifiche.</w:t>
      </w:r>
    </w:p>
    <w:p w:rsidR="009D2DD4" w:rsidRDefault="009D2DD4" w:rsidP="009D2DD4">
      <w:pPr>
        <w:spacing w:line="360" w:lineRule="auto"/>
        <w:ind w:left="-993" w:right="-567"/>
        <w:jc w:val="both"/>
        <w:rPr>
          <w:rFonts w:ascii="Century Gothic" w:hAnsi="Century Gothic"/>
          <w:sz w:val="24"/>
          <w:szCs w:val="24"/>
        </w:rPr>
      </w:pPr>
    </w:p>
    <w:p w:rsidR="009D2DD4" w:rsidRPr="00E108CC" w:rsidRDefault="009D2DD4" w:rsidP="009D2DD4">
      <w:pPr>
        <w:spacing w:line="360" w:lineRule="auto"/>
        <w:ind w:left="-993" w:right="-567"/>
        <w:jc w:val="both"/>
        <w:rPr>
          <w:rFonts w:ascii="Century Gothic" w:hAnsi="Century Gothic"/>
          <w:sz w:val="24"/>
          <w:szCs w:val="24"/>
        </w:rPr>
      </w:pPr>
      <w:r>
        <w:rPr>
          <w:rFonts w:ascii="Century Gothic" w:hAnsi="Century Gothic"/>
          <w:sz w:val="24"/>
          <w:szCs w:val="24"/>
        </w:rPr>
        <w:t>I</w:t>
      </w:r>
      <w:r w:rsidRPr="00E108CC">
        <w:rPr>
          <w:rFonts w:ascii="Century Gothic" w:hAnsi="Century Gothic"/>
          <w:sz w:val="24"/>
          <w:szCs w:val="24"/>
        </w:rPr>
        <w:t xml:space="preserve"> metodi in uso, nella pr</w:t>
      </w:r>
      <w:r>
        <w:rPr>
          <w:rFonts w:ascii="Century Gothic" w:hAnsi="Century Gothic"/>
          <w:sz w:val="24"/>
          <w:szCs w:val="24"/>
        </w:rPr>
        <w:t>atica medico-legale, sono due: un</w:t>
      </w:r>
      <w:r w:rsidRPr="00E108CC">
        <w:rPr>
          <w:rFonts w:ascii="Century Gothic" w:hAnsi="Century Gothic"/>
          <w:sz w:val="24"/>
          <w:szCs w:val="24"/>
        </w:rPr>
        <w:t xml:space="preserve"> primo </w:t>
      </w:r>
      <w:r>
        <w:rPr>
          <w:rFonts w:ascii="Century Gothic" w:hAnsi="Century Gothic"/>
          <w:sz w:val="24"/>
          <w:szCs w:val="24"/>
        </w:rPr>
        <w:t xml:space="preserve"> “tradizionale”</w:t>
      </w:r>
      <w:r w:rsidRPr="00E108CC">
        <w:rPr>
          <w:rFonts w:ascii="Century Gothic" w:hAnsi="Century Gothic"/>
          <w:sz w:val="24"/>
          <w:szCs w:val="24"/>
        </w:rPr>
        <w:t xml:space="preserve"> ed un secondo che diremo “innovativo”</w:t>
      </w:r>
      <w:r>
        <w:rPr>
          <w:rFonts w:ascii="Century Gothic" w:hAnsi="Century Gothic"/>
          <w:sz w:val="24"/>
          <w:szCs w:val="24"/>
        </w:rPr>
        <w:t>,</w:t>
      </w:r>
      <w:r w:rsidRPr="00E108CC">
        <w:rPr>
          <w:rFonts w:ascii="Century Gothic" w:hAnsi="Century Gothic"/>
          <w:sz w:val="24"/>
          <w:szCs w:val="24"/>
        </w:rPr>
        <w:t xml:space="preserve"> essendosi fatto strada negli ultimi </w:t>
      </w:r>
      <w:r>
        <w:rPr>
          <w:rFonts w:ascii="Century Gothic" w:hAnsi="Century Gothic"/>
          <w:sz w:val="24"/>
          <w:szCs w:val="24"/>
        </w:rPr>
        <w:t>venti anni circa; e</w:t>
      </w:r>
      <w:r w:rsidRPr="00E108CC">
        <w:rPr>
          <w:rFonts w:ascii="Century Gothic" w:hAnsi="Century Gothic"/>
          <w:sz w:val="24"/>
          <w:szCs w:val="24"/>
        </w:rPr>
        <w:t xml:space="preserve"> l’uno non esclude l’altro, atteso che non vi sono preclusioni di legge.</w:t>
      </w:r>
    </w:p>
    <w:p w:rsidR="009D2DD4" w:rsidRDefault="009D2DD4" w:rsidP="009D2DD4">
      <w:pPr>
        <w:spacing w:line="360" w:lineRule="auto"/>
        <w:ind w:left="-993" w:right="-567"/>
        <w:jc w:val="both"/>
        <w:rPr>
          <w:rFonts w:ascii="Century Gothic" w:hAnsi="Century Gothic"/>
          <w:sz w:val="24"/>
          <w:szCs w:val="24"/>
        </w:rPr>
      </w:pPr>
    </w:p>
    <w:p w:rsidR="009D2DD4" w:rsidRDefault="009D2DD4" w:rsidP="009D2DD4">
      <w:pPr>
        <w:spacing w:line="360" w:lineRule="auto"/>
        <w:ind w:left="-993" w:right="-567"/>
        <w:jc w:val="both"/>
        <w:rPr>
          <w:rFonts w:ascii="Century Gothic" w:hAnsi="Century Gothic"/>
          <w:sz w:val="24"/>
          <w:szCs w:val="24"/>
        </w:rPr>
      </w:pPr>
      <w:r w:rsidRPr="00E108CC">
        <w:rPr>
          <w:rFonts w:ascii="Century Gothic" w:hAnsi="Century Gothic"/>
          <w:sz w:val="24"/>
          <w:szCs w:val="24"/>
        </w:rPr>
        <w:t xml:space="preserve">Si prenda in considerazione una persona con </w:t>
      </w:r>
      <w:r>
        <w:rPr>
          <w:rFonts w:ascii="Century Gothic" w:hAnsi="Century Gothic"/>
          <w:sz w:val="24"/>
          <w:szCs w:val="24"/>
        </w:rPr>
        <w:t>e</w:t>
      </w:r>
      <w:r w:rsidRPr="00E108CC">
        <w:rPr>
          <w:rFonts w:ascii="Century Gothic" w:hAnsi="Century Gothic"/>
          <w:sz w:val="24"/>
          <w:szCs w:val="24"/>
        </w:rPr>
        <w:t>siti di poliomielite infantile all’arto inferiore di sinistra (stato anteriore); che,</w:t>
      </w:r>
      <w:r>
        <w:rPr>
          <w:rFonts w:ascii="Century Gothic" w:hAnsi="Century Gothic"/>
          <w:sz w:val="24"/>
          <w:szCs w:val="24"/>
        </w:rPr>
        <w:t xml:space="preserve"> per responsabilità di un terzo</w:t>
      </w:r>
      <w:r w:rsidRPr="00E108CC">
        <w:rPr>
          <w:rFonts w:ascii="Century Gothic" w:hAnsi="Century Gothic"/>
          <w:sz w:val="24"/>
          <w:szCs w:val="24"/>
        </w:rPr>
        <w:t xml:space="preserve"> riporti una frattura scomposta ai malleoli della caviglia destra e che a tale lesione faccia seguito, con carattere di permanenza, una anchilosi di caviglia</w:t>
      </w:r>
      <w:r>
        <w:rPr>
          <w:rFonts w:ascii="Century Gothic" w:hAnsi="Century Gothic"/>
          <w:sz w:val="24"/>
          <w:szCs w:val="24"/>
        </w:rPr>
        <w:t xml:space="preserve"> (menomazione concorrente </w:t>
      </w:r>
      <w:r w:rsidRPr="00E108CC">
        <w:rPr>
          <w:rFonts w:ascii="Century Gothic" w:hAnsi="Century Gothic"/>
          <w:sz w:val="24"/>
          <w:szCs w:val="24"/>
        </w:rPr>
        <w:t xml:space="preserve">sullo stesso distretto </w:t>
      </w:r>
      <w:proofErr w:type="spellStart"/>
      <w:r w:rsidRPr="00E108CC">
        <w:rPr>
          <w:rFonts w:ascii="Century Gothic" w:hAnsi="Century Gothic"/>
          <w:sz w:val="24"/>
          <w:szCs w:val="24"/>
        </w:rPr>
        <w:t>anatomo</w:t>
      </w:r>
      <w:proofErr w:type="spellEnd"/>
      <w:r w:rsidRPr="00E108CC">
        <w:rPr>
          <w:rFonts w:ascii="Century Gothic" w:hAnsi="Century Gothic"/>
          <w:sz w:val="24"/>
          <w:szCs w:val="24"/>
        </w:rPr>
        <w:t>-funzionale, deambulatorio). La tabella porta una indicazione di valore pari al dodici% per tale anchilosi. La stessa</w:t>
      </w:r>
      <w:r>
        <w:rPr>
          <w:rFonts w:ascii="Century Gothic" w:hAnsi="Century Gothic"/>
          <w:sz w:val="24"/>
          <w:szCs w:val="24"/>
        </w:rPr>
        <w:t>, come andrà modificata</w:t>
      </w:r>
      <w:r w:rsidRPr="00E108CC">
        <w:rPr>
          <w:rFonts w:ascii="Century Gothic" w:hAnsi="Century Gothic"/>
          <w:sz w:val="24"/>
          <w:szCs w:val="24"/>
        </w:rPr>
        <w:t xml:space="preserve"> avuto riguardo alla negativa interazione con </w:t>
      </w:r>
      <w:r>
        <w:rPr>
          <w:rFonts w:ascii="Century Gothic" w:hAnsi="Century Gothic"/>
          <w:sz w:val="24"/>
          <w:szCs w:val="24"/>
        </w:rPr>
        <w:t xml:space="preserve">la </w:t>
      </w:r>
      <w:r w:rsidRPr="00E108CC">
        <w:rPr>
          <w:rFonts w:ascii="Century Gothic" w:hAnsi="Century Gothic"/>
          <w:sz w:val="24"/>
          <w:szCs w:val="24"/>
        </w:rPr>
        <w:t>menomazione poliomielitica preesistente, atteso che il concorso delle due cause arreca maggiore pregiudizio disfunzionale rispetto a quanto sarebbe avvenuto se la medesima frattura fosse intervenuta in persona integra nello stato anteriore?</w:t>
      </w:r>
    </w:p>
    <w:p w:rsidR="009D2DD4" w:rsidRPr="00E108CC" w:rsidRDefault="009D2DD4" w:rsidP="009D2DD4">
      <w:pPr>
        <w:spacing w:line="360" w:lineRule="auto"/>
        <w:ind w:left="-993" w:right="-567"/>
        <w:jc w:val="both"/>
        <w:rPr>
          <w:rFonts w:ascii="Century Gothic" w:hAnsi="Century Gothic"/>
          <w:sz w:val="24"/>
          <w:szCs w:val="24"/>
        </w:rPr>
      </w:pPr>
    </w:p>
    <w:p w:rsidR="009D2DD4" w:rsidRDefault="009D2DD4" w:rsidP="009D2DD4">
      <w:pPr>
        <w:spacing w:line="360" w:lineRule="auto"/>
        <w:ind w:left="-993" w:right="-567"/>
        <w:jc w:val="both"/>
        <w:rPr>
          <w:rFonts w:ascii="Century Gothic" w:hAnsi="Century Gothic"/>
          <w:sz w:val="24"/>
          <w:szCs w:val="24"/>
        </w:rPr>
      </w:pPr>
      <w:r w:rsidRPr="00E108CC">
        <w:rPr>
          <w:rFonts w:ascii="Century Gothic" w:hAnsi="Century Gothic"/>
          <w:sz w:val="24"/>
          <w:szCs w:val="24"/>
        </w:rPr>
        <w:t>Considerate tali</w:t>
      </w:r>
      <w:r>
        <w:rPr>
          <w:rFonts w:ascii="Century Gothic" w:hAnsi="Century Gothic"/>
          <w:sz w:val="24"/>
          <w:szCs w:val="24"/>
        </w:rPr>
        <w:t xml:space="preserve"> maggiori disfunzionalità (incrementate oltre il</w:t>
      </w:r>
      <w:r w:rsidRPr="00E108CC">
        <w:rPr>
          <w:rFonts w:ascii="Century Gothic" w:hAnsi="Century Gothic"/>
          <w:sz w:val="24"/>
          <w:szCs w:val="24"/>
        </w:rPr>
        <w:t xml:space="preserve"> “norma</w:t>
      </w:r>
      <w:r>
        <w:rPr>
          <w:rFonts w:ascii="Century Gothic" w:hAnsi="Century Gothic"/>
          <w:sz w:val="24"/>
          <w:szCs w:val="24"/>
        </w:rPr>
        <w:t>le”, mediamente atteso)</w:t>
      </w:r>
      <w:r w:rsidRPr="00E108CC">
        <w:rPr>
          <w:rFonts w:ascii="Century Gothic" w:hAnsi="Century Gothic"/>
          <w:sz w:val="24"/>
          <w:szCs w:val="24"/>
        </w:rPr>
        <w:t xml:space="preserve">, nel </w:t>
      </w:r>
      <w:r w:rsidRPr="00262E2A">
        <w:rPr>
          <w:rFonts w:ascii="Century Gothic" w:hAnsi="Century Gothic"/>
          <w:sz w:val="24"/>
          <w:szCs w:val="24"/>
          <w:u w:val="single"/>
        </w:rPr>
        <w:t>metodo tradizionale</w:t>
      </w:r>
      <w:r w:rsidRPr="00E108CC">
        <w:rPr>
          <w:rFonts w:ascii="Century Gothic" w:hAnsi="Century Gothic"/>
          <w:sz w:val="24"/>
          <w:szCs w:val="24"/>
        </w:rPr>
        <w:t xml:space="preserve"> l’indicazione della tabella viene modificata con incremento al sedici-diciassette% circa (con valore economico corrispondente ai primi sedici-diciassette punti della tabella di conversione monetaria).</w:t>
      </w:r>
      <w:r>
        <w:rPr>
          <w:rFonts w:ascii="Century Gothic" w:hAnsi="Century Gothic"/>
          <w:sz w:val="24"/>
          <w:szCs w:val="24"/>
        </w:rPr>
        <w:t xml:space="preserve"> Si ritiene, in altre parole, di dover introdurre una certa maggiorazione nel valore 12% di cui alla tabella, essendo riconosciute maggiori, negative ricadute sulla persona nel “fare quotidiano”.</w:t>
      </w:r>
    </w:p>
    <w:p w:rsidR="009D2DD4" w:rsidRDefault="009D2DD4" w:rsidP="009D2DD4">
      <w:pPr>
        <w:spacing w:line="360" w:lineRule="auto"/>
        <w:ind w:left="-993" w:right="-567"/>
        <w:jc w:val="both"/>
        <w:rPr>
          <w:rFonts w:ascii="Century Gothic" w:hAnsi="Century Gothic"/>
          <w:sz w:val="24"/>
          <w:szCs w:val="24"/>
        </w:rPr>
      </w:pPr>
    </w:p>
    <w:p w:rsidR="009D2DD4" w:rsidRDefault="009D2DD4" w:rsidP="009D2DD4">
      <w:pPr>
        <w:spacing w:line="360" w:lineRule="auto"/>
        <w:ind w:left="-993" w:right="-567"/>
        <w:jc w:val="both"/>
        <w:rPr>
          <w:rFonts w:ascii="Century Gothic" w:hAnsi="Century Gothic"/>
          <w:sz w:val="24"/>
          <w:szCs w:val="24"/>
        </w:rPr>
      </w:pPr>
      <w:r>
        <w:rPr>
          <w:rFonts w:ascii="Century Gothic" w:hAnsi="Century Gothic"/>
          <w:sz w:val="24"/>
          <w:szCs w:val="24"/>
        </w:rPr>
        <w:t xml:space="preserve">Diversamente col  </w:t>
      </w:r>
      <w:r w:rsidRPr="00262E2A">
        <w:rPr>
          <w:rFonts w:ascii="Century Gothic" w:hAnsi="Century Gothic"/>
          <w:sz w:val="24"/>
          <w:szCs w:val="24"/>
          <w:u w:val="single"/>
        </w:rPr>
        <w:t>metodo  innovativo</w:t>
      </w:r>
      <w:r w:rsidRPr="00E108CC">
        <w:rPr>
          <w:rFonts w:ascii="Century Gothic" w:hAnsi="Century Gothic"/>
          <w:sz w:val="24"/>
          <w:szCs w:val="24"/>
        </w:rPr>
        <w:t xml:space="preserve"> si procede valutando percentualmente, con criteri di RC e di ragionevolezza, la menomazione dello stato anteriore (nella fattispecie trentatr</w:t>
      </w:r>
      <w:r>
        <w:rPr>
          <w:rFonts w:ascii="Century Gothic" w:hAnsi="Century Gothic"/>
          <w:sz w:val="24"/>
          <w:szCs w:val="24"/>
        </w:rPr>
        <w:t>é</w:t>
      </w:r>
      <w:r w:rsidRPr="00E108CC">
        <w:rPr>
          <w:rFonts w:ascii="Century Gothic" w:hAnsi="Century Gothic"/>
          <w:sz w:val="24"/>
          <w:szCs w:val="24"/>
        </w:rPr>
        <w:t>%); stimando l’attuale, complessivo danno biologico permanente alimentato dalla concorrenza delle due cause (</w:t>
      </w:r>
      <w:r>
        <w:rPr>
          <w:rFonts w:ascii="Century Gothic" w:hAnsi="Century Gothic"/>
          <w:sz w:val="24"/>
          <w:szCs w:val="24"/>
        </w:rPr>
        <w:t xml:space="preserve">si noti che 12+33 </w:t>
      </w:r>
      <w:r>
        <w:rPr>
          <w:rFonts w:ascii="Century Gothic" w:hAnsi="Century Gothic"/>
          <w:sz w:val="24"/>
          <w:szCs w:val="24"/>
        </w:rPr>
        <w:lastRenderedPageBreak/>
        <w:t xml:space="preserve">porterebbe a 45, ma è corretto procedere per valutazione complessiva e non per somma aritmetica, per cui il globale derivante dalla concorrenza va indicato al </w:t>
      </w:r>
      <w:r w:rsidRPr="00E108CC">
        <w:rPr>
          <w:rFonts w:ascii="Century Gothic" w:hAnsi="Century Gothic"/>
          <w:sz w:val="24"/>
          <w:szCs w:val="24"/>
        </w:rPr>
        <w:t>quaranta%); e calcolando</w:t>
      </w:r>
      <w:r>
        <w:rPr>
          <w:rFonts w:ascii="Century Gothic" w:hAnsi="Century Gothic"/>
          <w:sz w:val="24"/>
          <w:szCs w:val="24"/>
        </w:rPr>
        <w:t xml:space="preserve"> </w:t>
      </w:r>
      <w:r w:rsidRPr="00E108CC">
        <w:rPr>
          <w:rFonts w:ascii="Century Gothic" w:hAnsi="Century Gothic"/>
          <w:sz w:val="24"/>
          <w:szCs w:val="24"/>
        </w:rPr>
        <w:t xml:space="preserve">la differenza </w:t>
      </w:r>
      <w:r>
        <w:rPr>
          <w:rFonts w:ascii="Century Gothic" w:hAnsi="Century Gothic"/>
          <w:sz w:val="24"/>
          <w:szCs w:val="24"/>
        </w:rPr>
        <w:t xml:space="preserve">tra </w:t>
      </w:r>
      <w:r w:rsidRPr="00E108CC">
        <w:rPr>
          <w:rFonts w:ascii="Century Gothic" w:hAnsi="Century Gothic"/>
          <w:sz w:val="24"/>
          <w:szCs w:val="24"/>
        </w:rPr>
        <w:t xml:space="preserve">i due valori, </w:t>
      </w:r>
      <w:r>
        <w:rPr>
          <w:rFonts w:ascii="Century Gothic" w:hAnsi="Century Gothic"/>
          <w:sz w:val="24"/>
          <w:szCs w:val="24"/>
        </w:rPr>
        <w:t>c</w:t>
      </w:r>
      <w:r w:rsidRPr="00E108CC">
        <w:rPr>
          <w:rFonts w:ascii="Century Gothic" w:hAnsi="Century Gothic"/>
          <w:sz w:val="24"/>
          <w:szCs w:val="24"/>
        </w:rPr>
        <w:t>ioè 40-33= 7%: peraltro con valore economico non nella scala da uno a sette ma per differenza tra il valore monetario del quaranta% e quello del trentatr</w:t>
      </w:r>
      <w:r>
        <w:rPr>
          <w:rFonts w:ascii="Century Gothic" w:hAnsi="Century Gothic"/>
          <w:sz w:val="24"/>
          <w:szCs w:val="24"/>
        </w:rPr>
        <w:t xml:space="preserve">é% (come anche in </w:t>
      </w:r>
      <w:proofErr w:type="spellStart"/>
      <w:r>
        <w:rPr>
          <w:rFonts w:ascii="Century Gothic" w:hAnsi="Century Gothic"/>
          <w:sz w:val="24"/>
          <w:szCs w:val="24"/>
        </w:rPr>
        <w:t>Cass</w:t>
      </w:r>
      <w:proofErr w:type="spellEnd"/>
      <w:r>
        <w:rPr>
          <w:rFonts w:ascii="Century Gothic" w:hAnsi="Century Gothic"/>
          <w:sz w:val="24"/>
          <w:szCs w:val="24"/>
        </w:rPr>
        <w:t xml:space="preserve">. </w:t>
      </w:r>
      <w:proofErr w:type="spellStart"/>
      <w:r>
        <w:rPr>
          <w:rFonts w:ascii="Century Gothic" w:hAnsi="Century Gothic"/>
          <w:sz w:val="24"/>
          <w:szCs w:val="24"/>
        </w:rPr>
        <w:t>Civ</w:t>
      </w:r>
      <w:proofErr w:type="spellEnd"/>
      <w:r>
        <w:rPr>
          <w:rFonts w:ascii="Century Gothic" w:hAnsi="Century Gothic"/>
          <w:sz w:val="24"/>
          <w:szCs w:val="24"/>
        </w:rPr>
        <w:t>. 6341 del 19.03.14).</w:t>
      </w:r>
    </w:p>
    <w:p w:rsidR="009D2DD4" w:rsidRPr="00E108CC" w:rsidRDefault="009D2DD4" w:rsidP="009D2DD4">
      <w:pPr>
        <w:spacing w:line="360" w:lineRule="auto"/>
        <w:ind w:left="-993" w:right="-567"/>
        <w:jc w:val="both"/>
        <w:rPr>
          <w:rFonts w:ascii="Century Gothic" w:hAnsi="Century Gothic"/>
          <w:sz w:val="24"/>
          <w:szCs w:val="24"/>
        </w:rPr>
      </w:pPr>
    </w:p>
    <w:p w:rsidR="009D2DD4" w:rsidRPr="00E108CC" w:rsidRDefault="009D2DD4" w:rsidP="009D2DD4">
      <w:pPr>
        <w:spacing w:line="360" w:lineRule="auto"/>
        <w:ind w:left="-993" w:right="-567"/>
        <w:jc w:val="both"/>
        <w:rPr>
          <w:rFonts w:ascii="Century Gothic" w:hAnsi="Century Gothic"/>
          <w:i/>
          <w:sz w:val="24"/>
          <w:szCs w:val="24"/>
        </w:rPr>
      </w:pPr>
      <w:r w:rsidRPr="00E108CC">
        <w:rPr>
          <w:rFonts w:ascii="Century Gothic" w:hAnsi="Century Gothic"/>
          <w:sz w:val="24"/>
          <w:szCs w:val="24"/>
        </w:rPr>
        <w:t xml:space="preserve">Il metodo innovativo considera che debba essere rispettato il seguente principio: </w:t>
      </w:r>
      <w:r w:rsidRPr="00E108CC">
        <w:rPr>
          <w:rFonts w:ascii="Century Gothic" w:hAnsi="Century Gothic"/>
          <w:i/>
          <w:sz w:val="24"/>
          <w:szCs w:val="24"/>
        </w:rPr>
        <w:t>le menomazioni della fascia bassa della scala (a partire dall’uno%) sotto il profilo medico-legale hanno un significato disfunzionale (e</w:t>
      </w:r>
      <w:r>
        <w:rPr>
          <w:rFonts w:ascii="Century Gothic" w:hAnsi="Century Gothic"/>
          <w:i/>
          <w:sz w:val="24"/>
          <w:szCs w:val="24"/>
        </w:rPr>
        <w:t>,</w:t>
      </w:r>
      <w:r w:rsidRPr="00E108CC">
        <w:rPr>
          <w:rFonts w:ascii="Century Gothic" w:hAnsi="Century Gothic"/>
          <w:i/>
          <w:sz w:val="24"/>
          <w:szCs w:val="24"/>
        </w:rPr>
        <w:t xml:space="preserve"> per conseguenza, pregiudizievole nelle attività della vita quotidiana) sempre inferiore alle invalidità proprie delle fasce più alte; </w:t>
      </w:r>
      <w:r>
        <w:rPr>
          <w:rFonts w:ascii="Century Gothic" w:hAnsi="Century Gothic"/>
          <w:i/>
          <w:sz w:val="24"/>
          <w:szCs w:val="24"/>
        </w:rPr>
        <w:t xml:space="preserve">è </w:t>
      </w:r>
      <w:r w:rsidRPr="00E108CC">
        <w:rPr>
          <w:rFonts w:ascii="Century Gothic" w:hAnsi="Century Gothic"/>
          <w:i/>
          <w:sz w:val="24"/>
          <w:szCs w:val="24"/>
        </w:rPr>
        <w:t>evidente, infatti , che più ci si sposta verso i valori massimi della scala da 1 a 100, progressivamente più comprom</w:t>
      </w:r>
      <w:r>
        <w:rPr>
          <w:rFonts w:ascii="Century Gothic" w:hAnsi="Century Gothic"/>
          <w:i/>
          <w:sz w:val="24"/>
          <w:szCs w:val="24"/>
        </w:rPr>
        <w:t>ettenti per il danneggiato so</w:t>
      </w:r>
      <w:r w:rsidRPr="00E108CC">
        <w:rPr>
          <w:rFonts w:ascii="Century Gothic" w:hAnsi="Century Gothic"/>
          <w:i/>
          <w:sz w:val="24"/>
          <w:szCs w:val="24"/>
        </w:rPr>
        <w:t>no le menomazioni.</w:t>
      </w:r>
    </w:p>
    <w:p w:rsidR="009D2DD4" w:rsidRDefault="009D2DD4" w:rsidP="009D2DD4">
      <w:pPr>
        <w:spacing w:line="360" w:lineRule="auto"/>
        <w:ind w:left="-993" w:right="-567"/>
        <w:jc w:val="both"/>
        <w:rPr>
          <w:rFonts w:ascii="Century Gothic" w:hAnsi="Century Gothic"/>
          <w:sz w:val="24"/>
          <w:szCs w:val="24"/>
        </w:rPr>
      </w:pPr>
      <w:r w:rsidRPr="00E108CC">
        <w:rPr>
          <w:rFonts w:ascii="Century Gothic" w:hAnsi="Century Gothic"/>
          <w:sz w:val="24"/>
          <w:szCs w:val="24"/>
        </w:rPr>
        <w:t>Nella scelta di un metodo piuttosto che dell’altro, la med</w:t>
      </w:r>
      <w:r>
        <w:rPr>
          <w:rFonts w:ascii="Century Gothic" w:hAnsi="Century Gothic"/>
          <w:sz w:val="24"/>
          <w:szCs w:val="24"/>
        </w:rPr>
        <w:t xml:space="preserve">icina legale </w:t>
      </w:r>
      <w:r w:rsidRPr="00E108CC">
        <w:rPr>
          <w:rFonts w:ascii="Century Gothic" w:hAnsi="Century Gothic"/>
          <w:sz w:val="24"/>
          <w:szCs w:val="24"/>
        </w:rPr>
        <w:t xml:space="preserve"> appare divisa: gli innovatori ritengono che il “vecchio” sistema non renda appieno giustizia al danneggiato con maggiori </w:t>
      </w:r>
      <w:r>
        <w:rPr>
          <w:rFonts w:ascii="Century Gothic" w:hAnsi="Century Gothic"/>
          <w:sz w:val="24"/>
          <w:szCs w:val="24"/>
        </w:rPr>
        <w:t>pregiudizi</w:t>
      </w:r>
      <w:r w:rsidRPr="00E108CC">
        <w:rPr>
          <w:rFonts w:ascii="Century Gothic" w:hAnsi="Century Gothic"/>
          <w:sz w:val="24"/>
          <w:szCs w:val="24"/>
        </w:rPr>
        <w:t xml:space="preserve">; i tradizionalisti evidenziano come non raramente, nel nuovo sistema, si approderebbe a liquidazioni risarcitorie sproporzionate in eccesso. </w:t>
      </w:r>
    </w:p>
    <w:p w:rsidR="009D2DD4" w:rsidRDefault="009D2DD4" w:rsidP="009D2DD4">
      <w:pPr>
        <w:spacing w:line="360" w:lineRule="auto"/>
        <w:ind w:left="-993" w:right="-567"/>
        <w:jc w:val="both"/>
        <w:rPr>
          <w:rFonts w:ascii="Century Gothic" w:hAnsi="Century Gothic"/>
          <w:sz w:val="24"/>
          <w:szCs w:val="24"/>
        </w:rPr>
      </w:pPr>
    </w:p>
    <w:p w:rsidR="009D2DD4" w:rsidRPr="00C05A8C" w:rsidRDefault="009D2DD4" w:rsidP="009D2DD4">
      <w:pPr>
        <w:spacing w:line="360" w:lineRule="auto"/>
        <w:ind w:left="-993" w:right="-567"/>
        <w:jc w:val="both"/>
        <w:rPr>
          <w:rFonts w:ascii="Century Gothic" w:hAnsi="Century Gothic"/>
          <w:sz w:val="24"/>
          <w:szCs w:val="24"/>
        </w:rPr>
      </w:pPr>
      <w:r w:rsidRPr="00E108CC">
        <w:rPr>
          <w:rFonts w:ascii="Century Gothic" w:hAnsi="Century Gothic"/>
          <w:sz w:val="24"/>
          <w:szCs w:val="24"/>
        </w:rPr>
        <w:t xml:space="preserve">Per tutto quanto sopra, </w:t>
      </w:r>
      <w:r>
        <w:rPr>
          <w:rFonts w:ascii="Century Gothic" w:hAnsi="Century Gothic"/>
          <w:sz w:val="24"/>
          <w:szCs w:val="24"/>
        </w:rPr>
        <w:t xml:space="preserve">sembrerebbe dunque corretto proporre le </w:t>
      </w:r>
      <w:r w:rsidRPr="00C05A8C">
        <w:rPr>
          <w:rFonts w:ascii="Century Gothic" w:hAnsi="Century Gothic"/>
          <w:sz w:val="24"/>
          <w:szCs w:val="24"/>
        </w:rPr>
        <w:t xml:space="preserve">seguenti </w:t>
      </w:r>
      <w:r w:rsidRPr="00C05A8C">
        <w:rPr>
          <w:rFonts w:ascii="Century Gothic" w:hAnsi="Century Gothic"/>
          <w:sz w:val="24"/>
          <w:szCs w:val="24"/>
          <w:u w:val="single"/>
        </w:rPr>
        <w:t>conclusioni:</w:t>
      </w:r>
    </w:p>
    <w:p w:rsidR="009D2DD4" w:rsidRPr="00C05A8C" w:rsidRDefault="009D2DD4" w:rsidP="009D2DD4">
      <w:pPr>
        <w:numPr>
          <w:ilvl w:val="0"/>
          <w:numId w:val="1"/>
        </w:numPr>
        <w:spacing w:line="360" w:lineRule="auto"/>
        <w:ind w:left="-993" w:right="-567" w:firstLine="0"/>
        <w:jc w:val="both"/>
        <w:textAlignment w:val="auto"/>
        <w:rPr>
          <w:rFonts w:ascii="Century Gothic" w:hAnsi="Century Gothic"/>
          <w:sz w:val="24"/>
          <w:szCs w:val="24"/>
        </w:rPr>
      </w:pPr>
      <w:r w:rsidRPr="00C05A8C">
        <w:rPr>
          <w:rFonts w:ascii="Century Gothic" w:hAnsi="Century Gothic"/>
          <w:sz w:val="24"/>
          <w:szCs w:val="24"/>
        </w:rPr>
        <w:t xml:space="preserve">Per disposizione di legge </w:t>
      </w:r>
      <w:r>
        <w:rPr>
          <w:rFonts w:ascii="Century Gothic" w:hAnsi="Century Gothic"/>
          <w:sz w:val="24"/>
          <w:szCs w:val="24"/>
        </w:rPr>
        <w:t>(</w:t>
      </w:r>
      <w:proofErr w:type="spellStart"/>
      <w:r>
        <w:rPr>
          <w:rFonts w:ascii="Century Gothic" w:hAnsi="Century Gothic"/>
          <w:sz w:val="24"/>
          <w:szCs w:val="24"/>
        </w:rPr>
        <w:t>D.</w:t>
      </w:r>
      <w:r w:rsidRPr="00C05A8C">
        <w:rPr>
          <w:rFonts w:ascii="Century Gothic" w:hAnsi="Century Gothic"/>
          <w:sz w:val="24"/>
          <w:szCs w:val="24"/>
        </w:rPr>
        <w:t>lgs</w:t>
      </w:r>
      <w:proofErr w:type="spellEnd"/>
      <w:r w:rsidRPr="00C05A8C">
        <w:rPr>
          <w:rFonts w:ascii="Century Gothic" w:hAnsi="Century Gothic"/>
          <w:sz w:val="24"/>
          <w:szCs w:val="24"/>
        </w:rPr>
        <w:t xml:space="preserve"> n.209</w:t>
      </w:r>
      <w:r>
        <w:rPr>
          <w:rFonts w:ascii="Century Gothic" w:hAnsi="Century Gothic"/>
          <w:sz w:val="24"/>
          <w:szCs w:val="24"/>
        </w:rPr>
        <w:t>/</w:t>
      </w:r>
      <w:r w:rsidRPr="00C05A8C">
        <w:rPr>
          <w:rFonts w:ascii="Century Gothic" w:hAnsi="Century Gothic"/>
          <w:sz w:val="24"/>
          <w:szCs w:val="24"/>
        </w:rPr>
        <w:t>2005</w:t>
      </w:r>
      <w:r>
        <w:rPr>
          <w:rFonts w:ascii="Century Gothic" w:hAnsi="Century Gothic"/>
          <w:sz w:val="24"/>
          <w:szCs w:val="24"/>
        </w:rPr>
        <w:t>)</w:t>
      </w:r>
      <w:r w:rsidRPr="00C05A8C">
        <w:rPr>
          <w:rFonts w:ascii="Century Gothic" w:hAnsi="Century Gothic"/>
          <w:sz w:val="24"/>
          <w:szCs w:val="24"/>
        </w:rPr>
        <w:t>,  in caso di menomazioni concorrenti appare imprescindibile procedere con modifica alle indicazioni date dalle tabelle medico legali, a seconda che le interazioni tra gli effetti delle cause in concorso aumentino ovvero diminuiscano il danno derivante dalla lesione</w:t>
      </w:r>
      <w:r w:rsidRPr="00C05A8C">
        <w:rPr>
          <w:rFonts w:ascii="Century Gothic" w:hAnsi="Century Gothic"/>
          <w:i/>
          <w:sz w:val="24"/>
          <w:szCs w:val="24"/>
        </w:rPr>
        <w:t xml:space="preserve"> de quo.</w:t>
      </w:r>
    </w:p>
    <w:p w:rsidR="009D2DD4" w:rsidRPr="00C05A8C" w:rsidRDefault="009D2DD4" w:rsidP="009D2DD4">
      <w:pPr>
        <w:numPr>
          <w:ilvl w:val="0"/>
          <w:numId w:val="1"/>
        </w:numPr>
        <w:spacing w:line="360" w:lineRule="auto"/>
        <w:ind w:left="-993" w:right="-567" w:firstLine="0"/>
        <w:jc w:val="both"/>
        <w:textAlignment w:val="auto"/>
        <w:rPr>
          <w:rFonts w:ascii="Century Gothic" w:hAnsi="Century Gothic"/>
          <w:sz w:val="24"/>
          <w:szCs w:val="24"/>
        </w:rPr>
      </w:pPr>
      <w:r w:rsidRPr="00C05A8C">
        <w:rPr>
          <w:rFonts w:ascii="Century Gothic" w:hAnsi="Century Gothic"/>
          <w:sz w:val="24"/>
          <w:szCs w:val="24"/>
        </w:rPr>
        <w:t xml:space="preserve">Ad evitare che lo specialista in medicina legale introduca elementi di pregiudizio nella stima economica del danno, limitatamente ai casi controversi che approdano a CTU è necessario che si proceda a valutazione del caso con entrambi i metodi, avendo cura </w:t>
      </w:r>
      <w:r>
        <w:rPr>
          <w:rFonts w:ascii="Century Gothic" w:hAnsi="Century Gothic"/>
          <w:sz w:val="24"/>
          <w:szCs w:val="24"/>
        </w:rPr>
        <w:t>di</w:t>
      </w:r>
      <w:r w:rsidRPr="00C05A8C">
        <w:rPr>
          <w:rFonts w:ascii="Century Gothic" w:hAnsi="Century Gothic"/>
          <w:sz w:val="24"/>
          <w:szCs w:val="24"/>
        </w:rPr>
        <w:t xml:space="preserve"> ben motivare e descrivere le eventuali maggiori, negative ricadute nel “fare quotidiano”</w:t>
      </w:r>
      <w:r>
        <w:rPr>
          <w:rFonts w:ascii="Century Gothic" w:hAnsi="Century Gothic"/>
          <w:sz w:val="24"/>
          <w:szCs w:val="24"/>
        </w:rPr>
        <w:t>,</w:t>
      </w:r>
      <w:r w:rsidRPr="00C05A8C">
        <w:rPr>
          <w:rFonts w:ascii="Century Gothic" w:hAnsi="Century Gothic"/>
          <w:sz w:val="24"/>
          <w:szCs w:val="24"/>
        </w:rPr>
        <w:t xml:space="preserve"> così che il Giudice possa </w:t>
      </w:r>
      <w:r w:rsidRPr="00C05A8C">
        <w:rPr>
          <w:rFonts w:ascii="Century Gothic" w:hAnsi="Century Gothic"/>
          <w:sz w:val="24"/>
          <w:szCs w:val="24"/>
        </w:rPr>
        <w:lastRenderedPageBreak/>
        <w:t>procedere alla liquidazione economica, avuto riguardo a tutti gli elementi di giudizio disponibili.</w:t>
      </w:r>
    </w:p>
    <w:p w:rsidR="009D2DD4" w:rsidRPr="00C05A8C" w:rsidRDefault="009D2DD4" w:rsidP="009D2DD4">
      <w:pPr>
        <w:numPr>
          <w:ilvl w:val="0"/>
          <w:numId w:val="1"/>
        </w:numPr>
        <w:spacing w:line="360" w:lineRule="auto"/>
        <w:ind w:left="-993" w:right="-567" w:firstLine="0"/>
        <w:jc w:val="both"/>
        <w:textAlignment w:val="auto"/>
        <w:rPr>
          <w:rFonts w:ascii="Century Gothic" w:hAnsi="Century Gothic"/>
          <w:sz w:val="24"/>
          <w:szCs w:val="24"/>
        </w:rPr>
      </w:pPr>
      <w:r w:rsidRPr="00C05A8C">
        <w:rPr>
          <w:rFonts w:ascii="Century Gothic" w:hAnsi="Century Gothic"/>
          <w:sz w:val="24"/>
          <w:szCs w:val="24"/>
        </w:rPr>
        <w:t>Il più libero confronto fra le parti nelle fasi stragiudiziali.</w:t>
      </w:r>
    </w:p>
    <w:p w:rsidR="009D2DD4" w:rsidRPr="00C05A8C" w:rsidRDefault="009D2DD4" w:rsidP="009D2DD4">
      <w:pPr>
        <w:spacing w:line="360" w:lineRule="auto"/>
        <w:ind w:left="-993" w:right="-567"/>
        <w:jc w:val="center"/>
        <w:rPr>
          <w:rFonts w:ascii="Century Gothic" w:hAnsi="Century Gothic"/>
          <w:sz w:val="24"/>
          <w:szCs w:val="24"/>
        </w:rPr>
      </w:pPr>
      <w:r w:rsidRPr="00C05A8C">
        <w:rPr>
          <w:rFonts w:ascii="Century Gothic" w:hAnsi="Century Gothic"/>
          <w:sz w:val="24"/>
          <w:szCs w:val="24"/>
        </w:rPr>
        <w:t>***</w:t>
      </w:r>
    </w:p>
    <w:p w:rsidR="009D2DD4" w:rsidRPr="00C95DD7" w:rsidRDefault="009D2DD4" w:rsidP="009D2DD4">
      <w:pPr>
        <w:spacing w:line="360" w:lineRule="atLeast"/>
        <w:ind w:left="-993" w:right="-567"/>
        <w:jc w:val="center"/>
        <w:rPr>
          <w:rFonts w:ascii="Century Gothic" w:hAnsi="Century Gothic"/>
          <w:b/>
          <w:sz w:val="24"/>
          <w:u w:val="single"/>
        </w:rPr>
      </w:pPr>
      <w:bookmarkStart w:id="0" w:name="_GoBack"/>
      <w:bookmarkEnd w:id="0"/>
      <w:r w:rsidRPr="00C95DD7">
        <w:rPr>
          <w:rFonts w:ascii="Century Gothic" w:hAnsi="Century Gothic"/>
          <w:b/>
          <w:sz w:val="24"/>
          <w:u w:val="single"/>
        </w:rPr>
        <w:t>GRUPPO DI STUDIO n.5</w:t>
      </w:r>
    </w:p>
    <w:p w:rsidR="009D2DD4" w:rsidRPr="00C95DD7" w:rsidRDefault="009D2DD4" w:rsidP="009D2DD4">
      <w:pPr>
        <w:spacing w:line="360" w:lineRule="atLeast"/>
        <w:ind w:left="-993" w:right="-567"/>
        <w:jc w:val="center"/>
        <w:rPr>
          <w:rFonts w:ascii="Century Gothic" w:hAnsi="Century Gothic"/>
          <w:b/>
          <w:sz w:val="24"/>
          <w:u w:val="single"/>
        </w:rPr>
      </w:pPr>
    </w:p>
    <w:p w:rsidR="009D2DD4" w:rsidRPr="00C95DD7" w:rsidRDefault="009D2DD4" w:rsidP="009D2DD4">
      <w:pPr>
        <w:spacing w:line="360" w:lineRule="atLeast"/>
        <w:ind w:left="-993" w:right="-567"/>
        <w:jc w:val="center"/>
        <w:rPr>
          <w:rFonts w:ascii="Century Gothic" w:hAnsi="Century Gothic"/>
          <w:b/>
          <w:sz w:val="24"/>
        </w:rPr>
      </w:pPr>
      <w:r w:rsidRPr="00C95DD7">
        <w:rPr>
          <w:rFonts w:ascii="Century Gothic" w:hAnsi="Century Gothic"/>
          <w:b/>
          <w:sz w:val="24"/>
        </w:rPr>
        <w:t>DANNO ALLA CAPACITA’ LAVORATIVA GENERICA E SPECIFICA IN RESPONSABILITA’ CIVILE – ASPETTI MEDICO LEGALI –</w:t>
      </w:r>
    </w:p>
    <w:p w:rsidR="009D2DD4" w:rsidRDefault="009D2DD4" w:rsidP="009D2DD4">
      <w:pPr>
        <w:spacing w:line="360" w:lineRule="atLeast"/>
        <w:ind w:left="-993" w:right="-567"/>
        <w:jc w:val="center"/>
        <w:rPr>
          <w:rFonts w:ascii="Century Gothic" w:hAnsi="Century Gothic"/>
          <w:sz w:val="24"/>
        </w:rPr>
      </w:pPr>
    </w:p>
    <w:p w:rsidR="009D2DD4" w:rsidRDefault="009D2DD4" w:rsidP="009D2DD4">
      <w:pPr>
        <w:spacing w:line="360" w:lineRule="auto"/>
        <w:ind w:left="-993" w:right="-567"/>
        <w:jc w:val="both"/>
        <w:rPr>
          <w:rFonts w:ascii="Century Gothic" w:eastAsia="MS PGothic" w:hAnsi="Century Gothic" w:cs="MS PGothic"/>
          <w:color w:val="000000"/>
          <w:kern w:val="24"/>
          <w:sz w:val="24"/>
          <w:szCs w:val="24"/>
        </w:rPr>
      </w:pPr>
      <w:r w:rsidRPr="00BB07D3">
        <w:rPr>
          <w:rFonts w:ascii="Century Gothic" w:eastAsia="MS PGothic" w:hAnsi="Century Gothic" w:cs="MS PGothic"/>
          <w:color w:val="000000"/>
          <w:kern w:val="24"/>
          <w:sz w:val="24"/>
          <w:szCs w:val="24"/>
        </w:rPr>
        <w:t>Come ben sottolineato</w:t>
      </w:r>
      <w:r>
        <w:rPr>
          <w:rFonts w:ascii="Century Gothic" w:eastAsia="MS PGothic" w:hAnsi="Century Gothic" w:cs="MS PGothic"/>
          <w:color w:val="000000"/>
          <w:kern w:val="24"/>
          <w:sz w:val="24"/>
          <w:szCs w:val="24"/>
        </w:rPr>
        <w:t xml:space="preserve"> già a suo tempo</w:t>
      </w:r>
      <w:r w:rsidRPr="00BB07D3">
        <w:rPr>
          <w:rFonts w:ascii="Century Gothic" w:eastAsia="MS PGothic" w:hAnsi="Century Gothic" w:cs="MS PGothic"/>
          <w:color w:val="000000"/>
          <w:kern w:val="24"/>
          <w:sz w:val="24"/>
          <w:szCs w:val="24"/>
        </w:rPr>
        <w:t xml:space="preserve"> dal Giannini, il danno biologico, immancabile e prioritario, ha fatto venire meno la necessità del ricorso alla presunzione </w:t>
      </w:r>
      <w:proofErr w:type="spellStart"/>
      <w:r>
        <w:rPr>
          <w:rFonts w:ascii="Century Gothic" w:eastAsia="MS PGothic" w:hAnsi="Century Gothic" w:cs="MS PGothic"/>
          <w:i/>
          <w:iCs/>
          <w:color w:val="000000"/>
          <w:kern w:val="24"/>
          <w:sz w:val="24"/>
          <w:szCs w:val="24"/>
        </w:rPr>
        <w:t>juris</w:t>
      </w:r>
      <w:proofErr w:type="spellEnd"/>
      <w:r>
        <w:rPr>
          <w:rFonts w:ascii="Century Gothic" w:eastAsia="MS PGothic" w:hAnsi="Century Gothic" w:cs="MS PGothic"/>
          <w:i/>
          <w:iCs/>
          <w:color w:val="000000"/>
          <w:kern w:val="24"/>
          <w:sz w:val="24"/>
          <w:szCs w:val="24"/>
        </w:rPr>
        <w:t xml:space="preserve"> et de </w:t>
      </w:r>
      <w:proofErr w:type="spellStart"/>
      <w:r>
        <w:rPr>
          <w:rFonts w:ascii="Century Gothic" w:eastAsia="MS PGothic" w:hAnsi="Century Gothic" w:cs="MS PGothic"/>
          <w:i/>
          <w:iCs/>
          <w:color w:val="000000"/>
          <w:kern w:val="24"/>
          <w:sz w:val="24"/>
          <w:szCs w:val="24"/>
        </w:rPr>
        <w:t>j</w:t>
      </w:r>
      <w:r w:rsidRPr="00BB07D3">
        <w:rPr>
          <w:rFonts w:ascii="Century Gothic" w:eastAsia="MS PGothic" w:hAnsi="Century Gothic" w:cs="MS PGothic"/>
          <w:i/>
          <w:iCs/>
          <w:color w:val="000000"/>
          <w:kern w:val="24"/>
          <w:sz w:val="24"/>
          <w:szCs w:val="24"/>
        </w:rPr>
        <w:t>ure</w:t>
      </w:r>
      <w:proofErr w:type="spellEnd"/>
      <w:r w:rsidRPr="00BB07D3">
        <w:rPr>
          <w:rFonts w:ascii="Century Gothic" w:eastAsia="MS PGothic" w:hAnsi="Century Gothic" w:cs="MS PGothic"/>
          <w:i/>
          <w:iCs/>
          <w:color w:val="000000"/>
          <w:kern w:val="24"/>
          <w:sz w:val="24"/>
          <w:szCs w:val="24"/>
        </w:rPr>
        <w:t xml:space="preserve"> </w:t>
      </w:r>
      <w:r w:rsidRPr="00BB07D3">
        <w:rPr>
          <w:rFonts w:ascii="Century Gothic" w:eastAsia="MS PGothic" w:hAnsi="Century Gothic" w:cs="MS PGothic"/>
          <w:color w:val="000000"/>
          <w:kern w:val="24"/>
          <w:sz w:val="24"/>
          <w:szCs w:val="24"/>
        </w:rPr>
        <w:t>circa la esistenza di danno patrimoniale da lucro cessante per riduzione permanente di capacità lavorativa generica</w:t>
      </w:r>
      <w:r>
        <w:rPr>
          <w:rFonts w:ascii="Century Gothic" w:eastAsia="MS PGothic" w:hAnsi="Century Gothic" w:cs="MS PGothic"/>
          <w:color w:val="000000"/>
          <w:kern w:val="24"/>
          <w:sz w:val="24"/>
          <w:szCs w:val="24"/>
        </w:rPr>
        <w:t>:</w:t>
      </w:r>
      <w:r w:rsidRPr="00BB07D3">
        <w:rPr>
          <w:rFonts w:ascii="Century Gothic" w:eastAsia="MS PGothic" w:hAnsi="Century Gothic" w:cs="MS PGothic"/>
          <w:color w:val="000000"/>
          <w:kern w:val="24"/>
          <w:sz w:val="24"/>
          <w:szCs w:val="24"/>
        </w:rPr>
        <w:t xml:space="preserve"> il quale, peraltro, non è stato totalmente assorbito perché il danno biologico sostituisce solo la parte di capacità lavorativa generica che era in quell’epoca utilizzata per consentire il risarcimento di forme di pregiudizio all’integrità psico-fisica del tutto prive di concrete ripercussioni  patrimoniali: realtà del tutto comuni ora come in passato.</w:t>
      </w:r>
    </w:p>
    <w:p w:rsidR="009D2DD4" w:rsidRPr="00BB07D3" w:rsidRDefault="009D2DD4" w:rsidP="009D2DD4">
      <w:pPr>
        <w:spacing w:line="360" w:lineRule="auto"/>
        <w:ind w:left="-993" w:right="-567"/>
        <w:jc w:val="both"/>
        <w:rPr>
          <w:rFonts w:ascii="Century Gothic" w:hAnsi="Century Gothic" w:cs="Arial"/>
          <w:sz w:val="24"/>
          <w:szCs w:val="24"/>
        </w:rPr>
      </w:pPr>
    </w:p>
    <w:p w:rsidR="009D2DD4" w:rsidRPr="00BB07D3" w:rsidRDefault="009D2DD4" w:rsidP="009D2DD4">
      <w:pPr>
        <w:tabs>
          <w:tab w:val="left" w:pos="426"/>
        </w:tabs>
        <w:spacing w:line="360" w:lineRule="auto"/>
        <w:ind w:left="-993" w:right="-567"/>
        <w:jc w:val="both"/>
        <w:rPr>
          <w:rFonts w:ascii="Century Gothic" w:hAnsi="Century Gothic" w:cs="Arial"/>
          <w:sz w:val="24"/>
          <w:szCs w:val="24"/>
        </w:rPr>
      </w:pPr>
      <w:r w:rsidRPr="00BB07D3">
        <w:rPr>
          <w:rFonts w:ascii="Century Gothic" w:eastAsia="MS PGothic" w:hAnsi="Century Gothic" w:cs="MS PGothic"/>
          <w:color w:val="000000"/>
          <w:kern w:val="24"/>
          <w:sz w:val="24"/>
          <w:szCs w:val="24"/>
        </w:rPr>
        <w:t xml:space="preserve">Il lucro cessante può derivare da permanente pregiudizio alla capacità lavorativa specifica (CLS) o alla capacità lavorativa generica che meglio  sarebbe denominare attitudinale (CLA): il minore, il disoccupato, la casalinga, </w:t>
      </w:r>
      <w:proofErr w:type="spellStart"/>
      <w:r w:rsidRPr="00BB07D3">
        <w:rPr>
          <w:rFonts w:ascii="Century Gothic" w:eastAsia="MS PGothic" w:hAnsi="Century Gothic" w:cs="MS PGothic"/>
          <w:color w:val="000000"/>
          <w:kern w:val="24"/>
          <w:sz w:val="24"/>
          <w:szCs w:val="24"/>
        </w:rPr>
        <w:t>etc</w:t>
      </w:r>
      <w:proofErr w:type="spellEnd"/>
      <w:r w:rsidRPr="00BB07D3">
        <w:rPr>
          <w:rFonts w:ascii="Century Gothic" w:eastAsia="MS PGothic" w:hAnsi="Century Gothic" w:cs="MS PGothic"/>
          <w:color w:val="000000"/>
          <w:kern w:val="24"/>
          <w:sz w:val="24"/>
          <w:szCs w:val="24"/>
        </w:rPr>
        <w:t>…</w:t>
      </w:r>
    </w:p>
    <w:p w:rsidR="009D2DD4" w:rsidRPr="00BB07D3" w:rsidRDefault="009D2DD4" w:rsidP="009D2DD4">
      <w:pPr>
        <w:tabs>
          <w:tab w:val="left" w:pos="426"/>
        </w:tabs>
        <w:spacing w:line="360" w:lineRule="auto"/>
        <w:ind w:left="-993" w:right="-567"/>
        <w:jc w:val="both"/>
        <w:rPr>
          <w:rFonts w:ascii="Century Gothic" w:hAnsi="Century Gothic" w:cs="Arial"/>
          <w:sz w:val="24"/>
          <w:szCs w:val="24"/>
        </w:rPr>
      </w:pPr>
    </w:p>
    <w:p w:rsidR="009D2DD4" w:rsidRPr="00BB07D3" w:rsidRDefault="009D2DD4" w:rsidP="009D2DD4">
      <w:pPr>
        <w:tabs>
          <w:tab w:val="left" w:pos="426"/>
        </w:tabs>
        <w:spacing w:line="360" w:lineRule="auto"/>
        <w:ind w:left="-993" w:right="-567"/>
        <w:jc w:val="both"/>
        <w:rPr>
          <w:rFonts w:ascii="Century Gothic" w:hAnsi="Century Gothic" w:cs="Arial"/>
          <w:sz w:val="24"/>
          <w:szCs w:val="24"/>
        </w:rPr>
      </w:pPr>
      <w:r w:rsidRPr="00BB07D3">
        <w:rPr>
          <w:rFonts w:ascii="Century Gothic" w:eastAsia="MS PGothic" w:hAnsi="Century Gothic" w:cs="MS PGothic"/>
          <w:color w:val="000000"/>
          <w:kern w:val="24"/>
          <w:sz w:val="24"/>
          <w:szCs w:val="24"/>
        </w:rPr>
        <w:t>Il contributo medico legale</w:t>
      </w:r>
      <w:r>
        <w:rPr>
          <w:rFonts w:ascii="Century Gothic" w:eastAsia="MS PGothic" w:hAnsi="Century Gothic" w:cs="MS PGothic"/>
          <w:color w:val="000000"/>
          <w:kern w:val="24"/>
          <w:sz w:val="24"/>
          <w:szCs w:val="24"/>
        </w:rPr>
        <w:t>,</w:t>
      </w:r>
      <w:r w:rsidRPr="00BB07D3">
        <w:rPr>
          <w:rFonts w:ascii="Century Gothic" w:eastAsia="MS PGothic" w:hAnsi="Century Gothic" w:cs="MS PGothic"/>
          <w:color w:val="000000"/>
          <w:kern w:val="24"/>
          <w:sz w:val="24"/>
          <w:szCs w:val="24"/>
        </w:rPr>
        <w:t xml:space="preserve"> destinato a chi è preposto alla liquidazione economica</w:t>
      </w:r>
      <w:r>
        <w:rPr>
          <w:rFonts w:ascii="Century Gothic" w:eastAsia="MS PGothic" w:hAnsi="Century Gothic" w:cs="MS PGothic"/>
          <w:color w:val="000000"/>
          <w:kern w:val="24"/>
          <w:sz w:val="24"/>
          <w:szCs w:val="24"/>
        </w:rPr>
        <w:t xml:space="preserve">, </w:t>
      </w:r>
      <w:r w:rsidRPr="00BB07D3">
        <w:rPr>
          <w:rFonts w:ascii="Century Gothic" w:eastAsia="MS PGothic" w:hAnsi="Century Gothic" w:cs="MS PGothic"/>
          <w:color w:val="000000"/>
          <w:kern w:val="24"/>
          <w:sz w:val="24"/>
          <w:szCs w:val="24"/>
        </w:rPr>
        <w:t>deve riguardare la valutazione della CLS, della CLA o di entrambe</w:t>
      </w:r>
      <w:r>
        <w:rPr>
          <w:rFonts w:ascii="Century Gothic" w:eastAsia="MS PGothic" w:hAnsi="Century Gothic" w:cs="MS PGothic"/>
          <w:color w:val="000000"/>
          <w:kern w:val="24"/>
          <w:sz w:val="24"/>
          <w:szCs w:val="24"/>
        </w:rPr>
        <w:t>.</w:t>
      </w:r>
    </w:p>
    <w:p w:rsidR="009D2DD4" w:rsidRPr="00BB07D3" w:rsidRDefault="009D2DD4" w:rsidP="009D2DD4">
      <w:pPr>
        <w:spacing w:line="360" w:lineRule="auto"/>
        <w:ind w:left="-993" w:right="-567"/>
        <w:jc w:val="both"/>
        <w:rPr>
          <w:rFonts w:ascii="Century Gothic" w:hAnsi="Century Gothic" w:cs="Arial"/>
          <w:sz w:val="24"/>
          <w:szCs w:val="24"/>
        </w:rPr>
      </w:pPr>
    </w:p>
    <w:p w:rsidR="009D2DD4" w:rsidRDefault="009D2DD4" w:rsidP="009D2DD4">
      <w:pPr>
        <w:spacing w:line="360" w:lineRule="auto"/>
        <w:ind w:left="-993" w:right="-567"/>
        <w:jc w:val="both"/>
        <w:rPr>
          <w:rFonts w:ascii="Century Gothic" w:eastAsia="MS PGothic" w:hAnsi="Century Gothic" w:cs="MS PGothic"/>
          <w:i/>
          <w:color w:val="000000"/>
          <w:kern w:val="24"/>
          <w:sz w:val="24"/>
          <w:szCs w:val="24"/>
        </w:rPr>
      </w:pPr>
      <w:r w:rsidRPr="00BB07D3">
        <w:rPr>
          <w:rFonts w:ascii="Century Gothic" w:eastAsia="MS PGothic" w:hAnsi="Century Gothic" w:cs="MS PGothic"/>
          <w:color w:val="000000"/>
          <w:kern w:val="24"/>
          <w:sz w:val="24"/>
          <w:szCs w:val="24"/>
        </w:rPr>
        <w:t xml:space="preserve">Andrà di volta in volta valutata la diminuzione di  CLS e/o CLA; e andranno eventualmente segnalate circostanze pregiudizievoli quali il lavoro usurante, la perdita di </w:t>
      </w:r>
      <w:r w:rsidRPr="00B6304A">
        <w:rPr>
          <w:rFonts w:ascii="Century Gothic" w:eastAsia="MS PGothic" w:hAnsi="Century Gothic" w:cs="MS PGothic"/>
          <w:i/>
          <w:color w:val="000000"/>
          <w:kern w:val="24"/>
          <w:sz w:val="24"/>
          <w:szCs w:val="24"/>
        </w:rPr>
        <w:t>chances</w:t>
      </w:r>
      <w:r w:rsidRPr="00BB07D3">
        <w:rPr>
          <w:rFonts w:ascii="Century Gothic" w:eastAsia="MS PGothic" w:hAnsi="Century Gothic" w:cs="MS PGothic"/>
          <w:color w:val="000000"/>
          <w:kern w:val="24"/>
          <w:sz w:val="24"/>
          <w:szCs w:val="24"/>
        </w:rPr>
        <w:t xml:space="preserve"> lavorative future e la eventuale collocabilità o </w:t>
      </w:r>
      <w:proofErr w:type="spellStart"/>
      <w:r w:rsidRPr="00BB07D3">
        <w:rPr>
          <w:rFonts w:ascii="Century Gothic" w:eastAsia="MS PGothic" w:hAnsi="Century Gothic" w:cs="MS PGothic"/>
          <w:color w:val="000000"/>
          <w:kern w:val="24"/>
          <w:sz w:val="24"/>
          <w:szCs w:val="24"/>
        </w:rPr>
        <w:t>ri</w:t>
      </w:r>
      <w:proofErr w:type="spellEnd"/>
      <w:r>
        <w:rPr>
          <w:rFonts w:ascii="Century Gothic" w:eastAsia="MS PGothic" w:hAnsi="Century Gothic" w:cs="MS PGothic"/>
          <w:color w:val="000000"/>
          <w:kern w:val="24"/>
          <w:sz w:val="24"/>
          <w:szCs w:val="24"/>
        </w:rPr>
        <w:t>-</w:t>
      </w:r>
      <w:r w:rsidRPr="00BB07D3">
        <w:rPr>
          <w:rFonts w:ascii="Century Gothic" w:eastAsia="MS PGothic" w:hAnsi="Century Gothic" w:cs="MS PGothic"/>
          <w:color w:val="000000"/>
          <w:kern w:val="24"/>
          <w:sz w:val="24"/>
          <w:szCs w:val="24"/>
        </w:rPr>
        <w:t xml:space="preserve">collocabilità al lavoro </w:t>
      </w:r>
      <w:proofErr w:type="spellStart"/>
      <w:r w:rsidRPr="00B6304A">
        <w:rPr>
          <w:rFonts w:ascii="Century Gothic" w:eastAsia="MS PGothic" w:hAnsi="Century Gothic" w:cs="MS PGothic"/>
          <w:i/>
          <w:color w:val="000000"/>
          <w:kern w:val="24"/>
          <w:sz w:val="24"/>
          <w:szCs w:val="24"/>
        </w:rPr>
        <w:t>ope</w:t>
      </w:r>
      <w:proofErr w:type="spellEnd"/>
      <w:r w:rsidRPr="00B6304A">
        <w:rPr>
          <w:rFonts w:ascii="Century Gothic" w:eastAsia="MS PGothic" w:hAnsi="Century Gothic" w:cs="MS PGothic"/>
          <w:i/>
          <w:color w:val="000000"/>
          <w:kern w:val="24"/>
          <w:sz w:val="24"/>
          <w:szCs w:val="24"/>
        </w:rPr>
        <w:t xml:space="preserve"> </w:t>
      </w:r>
      <w:proofErr w:type="spellStart"/>
      <w:r w:rsidRPr="00B6304A">
        <w:rPr>
          <w:rFonts w:ascii="Century Gothic" w:eastAsia="MS PGothic" w:hAnsi="Century Gothic" w:cs="MS PGothic"/>
          <w:i/>
          <w:color w:val="000000"/>
          <w:kern w:val="24"/>
          <w:sz w:val="24"/>
          <w:szCs w:val="24"/>
        </w:rPr>
        <w:t>legis</w:t>
      </w:r>
      <w:proofErr w:type="spellEnd"/>
      <w:r>
        <w:rPr>
          <w:rFonts w:ascii="Century Gothic" w:eastAsia="MS PGothic" w:hAnsi="Century Gothic" w:cs="MS PGothic"/>
          <w:i/>
          <w:color w:val="000000"/>
          <w:kern w:val="24"/>
          <w:sz w:val="24"/>
          <w:szCs w:val="24"/>
        </w:rPr>
        <w:t>.</w:t>
      </w:r>
    </w:p>
    <w:p w:rsidR="009D2DD4" w:rsidRPr="00BB07D3" w:rsidRDefault="009D2DD4" w:rsidP="009D2DD4">
      <w:pPr>
        <w:spacing w:line="360" w:lineRule="auto"/>
        <w:ind w:left="-993" w:right="-567"/>
        <w:jc w:val="both"/>
        <w:rPr>
          <w:rFonts w:ascii="Century Gothic" w:hAnsi="Century Gothic" w:cs="Arial"/>
          <w:sz w:val="24"/>
          <w:szCs w:val="24"/>
        </w:rPr>
      </w:pPr>
    </w:p>
    <w:p w:rsidR="009D2DD4" w:rsidRPr="00BB07D3" w:rsidRDefault="009D2DD4" w:rsidP="009D2DD4">
      <w:pPr>
        <w:spacing w:line="360" w:lineRule="auto"/>
        <w:ind w:left="-993" w:right="-567"/>
        <w:jc w:val="both"/>
        <w:rPr>
          <w:rFonts w:ascii="Century Gothic" w:hAnsi="Century Gothic" w:cs="Arial"/>
          <w:sz w:val="24"/>
          <w:szCs w:val="24"/>
        </w:rPr>
      </w:pPr>
      <w:r w:rsidRPr="00BB07D3">
        <w:rPr>
          <w:rFonts w:ascii="Century Gothic" w:eastAsia="MS PGothic" w:hAnsi="Century Gothic" w:cs="MS PGothic"/>
          <w:color w:val="000000"/>
          <w:kern w:val="24"/>
          <w:sz w:val="24"/>
          <w:szCs w:val="24"/>
        </w:rPr>
        <w:lastRenderedPageBreak/>
        <w:t>Descrizione e contestuale stima in percentuale rappresentano il prodotto tecnico più esaustivo: la prima rappresentando la parte motivazionale della seconda.</w:t>
      </w:r>
      <w:r>
        <w:rPr>
          <w:rFonts w:ascii="Century Gothic" w:eastAsia="MS PGothic" w:hAnsi="Century Gothic" w:cs="MS PGothic"/>
          <w:color w:val="000000"/>
          <w:kern w:val="24"/>
          <w:sz w:val="24"/>
          <w:szCs w:val="24"/>
        </w:rPr>
        <w:t xml:space="preserve"> </w:t>
      </w:r>
      <w:r w:rsidRPr="00BB07D3">
        <w:rPr>
          <w:rFonts w:ascii="Century Gothic" w:eastAsia="MS PGothic" w:hAnsi="Century Gothic" w:cs="MS PGothic"/>
          <w:color w:val="000000"/>
          <w:kern w:val="24"/>
          <w:sz w:val="24"/>
          <w:szCs w:val="24"/>
        </w:rPr>
        <w:t xml:space="preserve">È il prodotto più esaustivo perché risponde alle esigenze sia del </w:t>
      </w:r>
      <w:r>
        <w:rPr>
          <w:rFonts w:ascii="Century Gothic" w:eastAsia="MS PGothic" w:hAnsi="Century Gothic" w:cs="MS PGothic"/>
          <w:color w:val="000000"/>
          <w:kern w:val="24"/>
          <w:sz w:val="24"/>
          <w:szCs w:val="24"/>
        </w:rPr>
        <w:t>G</w:t>
      </w:r>
      <w:r w:rsidRPr="00BB07D3">
        <w:rPr>
          <w:rFonts w:ascii="Century Gothic" w:eastAsia="MS PGothic" w:hAnsi="Century Gothic" w:cs="MS PGothic"/>
          <w:color w:val="000000"/>
          <w:kern w:val="24"/>
          <w:sz w:val="24"/>
          <w:szCs w:val="24"/>
        </w:rPr>
        <w:t xml:space="preserve">iudice che opti per la liquidazione secondo criterio equitativo; sia del </w:t>
      </w:r>
      <w:r>
        <w:rPr>
          <w:rFonts w:ascii="Century Gothic" w:eastAsia="MS PGothic" w:hAnsi="Century Gothic" w:cs="MS PGothic"/>
          <w:color w:val="000000"/>
          <w:kern w:val="24"/>
          <w:sz w:val="24"/>
          <w:szCs w:val="24"/>
        </w:rPr>
        <w:t>G</w:t>
      </w:r>
      <w:r w:rsidRPr="00BB07D3">
        <w:rPr>
          <w:rFonts w:ascii="Century Gothic" w:eastAsia="MS PGothic" w:hAnsi="Century Gothic" w:cs="MS PGothic"/>
          <w:color w:val="000000"/>
          <w:kern w:val="24"/>
          <w:sz w:val="24"/>
          <w:szCs w:val="24"/>
        </w:rPr>
        <w:t>iudice che ricorra alla nota formula di capitalizzazione</w:t>
      </w:r>
      <w:r>
        <w:rPr>
          <w:rFonts w:ascii="Century Gothic" w:eastAsia="MS PGothic" w:hAnsi="Century Gothic" w:cs="MS PGothic"/>
          <w:color w:val="000000"/>
          <w:kern w:val="24"/>
          <w:sz w:val="24"/>
          <w:szCs w:val="24"/>
        </w:rPr>
        <w:t>.</w:t>
      </w:r>
    </w:p>
    <w:p w:rsidR="009D2DD4" w:rsidRPr="00C95DD7" w:rsidRDefault="009D2DD4" w:rsidP="009D2DD4">
      <w:pPr>
        <w:spacing w:line="360" w:lineRule="auto"/>
        <w:ind w:left="-993" w:right="-567"/>
        <w:jc w:val="both"/>
        <w:rPr>
          <w:rFonts w:ascii="Century Gothic" w:hAnsi="Century Gothic" w:cs="Arial"/>
          <w:sz w:val="24"/>
          <w:szCs w:val="24"/>
        </w:rPr>
      </w:pPr>
    </w:p>
    <w:p w:rsidR="009D2DD4" w:rsidRPr="00C95DD7" w:rsidRDefault="009D2DD4" w:rsidP="009D2DD4">
      <w:pPr>
        <w:spacing w:line="360" w:lineRule="auto"/>
        <w:ind w:left="-993" w:right="-567"/>
        <w:jc w:val="both"/>
        <w:rPr>
          <w:rFonts w:ascii="Century Gothic" w:hAnsi="Century Gothic" w:cs="Arial"/>
          <w:sz w:val="24"/>
          <w:szCs w:val="24"/>
        </w:rPr>
      </w:pPr>
      <w:r w:rsidRPr="00C95DD7">
        <w:rPr>
          <w:rFonts w:ascii="Century Gothic" w:eastAsia="MS PGothic" w:hAnsi="Century Gothic" w:cs="MS PGothic"/>
          <w:color w:val="000000"/>
          <w:kern w:val="24"/>
          <w:sz w:val="24"/>
          <w:szCs w:val="24"/>
        </w:rPr>
        <w:t>Non sussiste alcuna reale corrispondenza, e meno ancora equivalenza, tra diminuzione di capacità lavorativa percentualmente indicata dal medico legale e futura contrazione di reddito economico: come ripetutamente sottolineato dalla S.C.</w:t>
      </w:r>
    </w:p>
    <w:p w:rsidR="009D2DD4" w:rsidRPr="00C95DD7" w:rsidRDefault="009D2DD4" w:rsidP="009D2DD4">
      <w:pPr>
        <w:spacing w:line="360" w:lineRule="auto"/>
        <w:ind w:left="-993" w:right="-567"/>
        <w:jc w:val="both"/>
        <w:rPr>
          <w:rFonts w:ascii="Century Gothic" w:hAnsi="Century Gothic" w:cs="Arial"/>
          <w:sz w:val="24"/>
          <w:szCs w:val="24"/>
        </w:rPr>
      </w:pPr>
    </w:p>
    <w:p w:rsidR="009D2DD4" w:rsidRPr="00C95DD7" w:rsidRDefault="009D2DD4" w:rsidP="009D2DD4">
      <w:pPr>
        <w:spacing w:line="360" w:lineRule="auto"/>
        <w:ind w:left="-993" w:right="-567"/>
        <w:jc w:val="both"/>
        <w:rPr>
          <w:rFonts w:ascii="Century Gothic" w:hAnsi="Century Gothic" w:cs="Arial"/>
          <w:sz w:val="24"/>
          <w:szCs w:val="24"/>
        </w:rPr>
      </w:pPr>
      <w:r w:rsidRPr="00C95DD7">
        <w:rPr>
          <w:rFonts w:ascii="Century Gothic" w:eastAsia="MS PGothic" w:hAnsi="Century Gothic" w:cs="MS PGothic"/>
          <w:color w:val="000000"/>
          <w:kern w:val="24"/>
          <w:sz w:val="24"/>
          <w:szCs w:val="24"/>
        </w:rPr>
        <w:t xml:space="preserve">Quella medico legale </w:t>
      </w:r>
      <w:r>
        <w:rPr>
          <w:rFonts w:ascii="Century Gothic" w:eastAsia="MS PGothic" w:hAnsi="Century Gothic" w:cs="MS PGothic"/>
          <w:color w:val="000000"/>
          <w:kern w:val="24"/>
          <w:sz w:val="24"/>
          <w:szCs w:val="24"/>
        </w:rPr>
        <w:t xml:space="preserve">costituisce </w:t>
      </w:r>
      <w:r w:rsidRPr="00C95DD7">
        <w:rPr>
          <w:rFonts w:ascii="Century Gothic" w:eastAsia="MS PGothic" w:hAnsi="Century Gothic" w:cs="MS PGothic"/>
          <w:color w:val="000000"/>
          <w:kern w:val="24"/>
          <w:sz w:val="24"/>
          <w:szCs w:val="24"/>
        </w:rPr>
        <w:t xml:space="preserve">valutazione meramente </w:t>
      </w:r>
      <w:r w:rsidRPr="00C95DD7">
        <w:rPr>
          <w:rFonts w:ascii="Century Gothic" w:eastAsia="MS PGothic" w:hAnsi="Century Gothic" w:cs="MS PGothic"/>
          <w:i/>
          <w:iCs/>
          <w:color w:val="000000"/>
          <w:kern w:val="24"/>
          <w:sz w:val="24"/>
          <w:szCs w:val="24"/>
        </w:rPr>
        <w:t xml:space="preserve">naturalistica </w:t>
      </w:r>
      <w:r w:rsidRPr="00C95DD7">
        <w:rPr>
          <w:rFonts w:ascii="Century Gothic" w:eastAsia="MS PGothic" w:hAnsi="Century Gothic" w:cs="MS PGothic"/>
          <w:color w:val="000000"/>
          <w:kern w:val="24"/>
          <w:sz w:val="24"/>
          <w:szCs w:val="24"/>
        </w:rPr>
        <w:t>ma si conferma come il solo dato oggett</w:t>
      </w:r>
      <w:r>
        <w:rPr>
          <w:rFonts w:ascii="Century Gothic" w:eastAsia="MS PGothic" w:hAnsi="Century Gothic" w:cs="MS PGothic"/>
          <w:color w:val="000000"/>
          <w:kern w:val="24"/>
          <w:sz w:val="24"/>
          <w:szCs w:val="24"/>
        </w:rPr>
        <w:t>ivo capace di dare supporto al G</w:t>
      </w:r>
      <w:r w:rsidRPr="00C95DD7">
        <w:rPr>
          <w:rFonts w:ascii="Century Gothic" w:eastAsia="MS PGothic" w:hAnsi="Century Gothic" w:cs="MS PGothic"/>
          <w:color w:val="000000"/>
          <w:kern w:val="24"/>
          <w:sz w:val="24"/>
          <w:szCs w:val="24"/>
        </w:rPr>
        <w:t>iudice nel momento in cui si trovi a manovrare lo scivoloso strumento della presunzione per stabilire se, in prospettiva futura, sia semplicemente possibile (aleatorio) o più concretamente probabile che la persona presenterà una contrazione di reddito da lavoro: facendo da ciò discendere, rispettivamente, la non risarcibilità o la risarcibilità.</w:t>
      </w:r>
    </w:p>
    <w:p w:rsidR="009D2DD4" w:rsidRPr="00C95DD7" w:rsidRDefault="009D2DD4" w:rsidP="009D2DD4">
      <w:pPr>
        <w:spacing w:line="360" w:lineRule="auto"/>
        <w:ind w:left="-993" w:right="-567"/>
        <w:jc w:val="both"/>
        <w:rPr>
          <w:rFonts w:ascii="Century Gothic" w:hAnsi="Century Gothic" w:cs="Arial"/>
          <w:sz w:val="24"/>
          <w:szCs w:val="24"/>
        </w:rPr>
      </w:pPr>
    </w:p>
    <w:p w:rsidR="009D2DD4" w:rsidRPr="009C062C" w:rsidRDefault="009D2DD4" w:rsidP="009D2DD4">
      <w:pPr>
        <w:spacing w:line="360" w:lineRule="auto"/>
        <w:ind w:left="-993" w:right="-567"/>
        <w:jc w:val="both"/>
        <w:rPr>
          <w:rFonts w:ascii="Century Gothic" w:hAnsi="Century Gothic" w:cs="Arial"/>
          <w:sz w:val="24"/>
          <w:szCs w:val="24"/>
        </w:rPr>
      </w:pPr>
      <w:r w:rsidRPr="00BB07D3">
        <w:rPr>
          <w:rFonts w:ascii="Century Gothic" w:eastAsia="MS PGothic" w:hAnsi="Century Gothic" w:cs="MS PGothic"/>
          <w:color w:val="000000"/>
          <w:kern w:val="24"/>
          <w:sz w:val="24"/>
          <w:szCs w:val="24"/>
        </w:rPr>
        <w:t>Nella realtà extra-giudiziale, a fronte di casi con oggettiva, rilevante diminuzione di capacità lavorativa, condizionante molto probabile contrazione di reddito futuro, le parti non si potranno confrontare se non sulla base di una percentuale di permanente diminuzione di capacità lavorativa che consenta di arrivare al calcolo della somma da liquidare in capitale, secondo la “nota formula”.</w:t>
      </w:r>
      <w:r w:rsidRPr="00BB07D3">
        <w:rPr>
          <w:rFonts w:ascii="Century Gothic" w:eastAsia="MS PGothic" w:hAnsi="Century Gothic" w:cs="MS PGothic"/>
          <w:color w:val="000000"/>
          <w:kern w:val="24"/>
          <w:sz w:val="24"/>
          <w:szCs w:val="24"/>
        </w:rPr>
        <w:br/>
        <w:t>In altri termini, il dato percentuale si conferma come il solo punto fermo e la rimozione dello stesso, in favore di una metodologia medico-legale esclusivamente descrittiva, porterebbe a notevoli difformità di quantificazione economica e</w:t>
      </w:r>
      <w:r>
        <w:rPr>
          <w:rFonts w:ascii="Century Gothic" w:eastAsia="MS PGothic" w:hAnsi="Century Gothic" w:cs="MS PGothic"/>
          <w:color w:val="000000"/>
          <w:kern w:val="24"/>
          <w:sz w:val="24"/>
          <w:szCs w:val="24"/>
        </w:rPr>
        <w:t xml:space="preserve"> ad</w:t>
      </w:r>
      <w:r w:rsidRPr="00BB07D3">
        <w:rPr>
          <w:rFonts w:ascii="Century Gothic" w:eastAsia="MS PGothic" w:hAnsi="Century Gothic" w:cs="MS PGothic"/>
          <w:color w:val="000000"/>
          <w:kern w:val="24"/>
          <w:sz w:val="24"/>
          <w:szCs w:val="24"/>
        </w:rPr>
        <w:t xml:space="preserve"> aumento del contenzioso</w:t>
      </w:r>
      <w:r>
        <w:rPr>
          <w:rFonts w:ascii="Century Gothic" w:eastAsia="MS PGothic" w:hAnsi="Century Gothic" w:cs="MS PGothic"/>
          <w:color w:val="000000"/>
          <w:kern w:val="24"/>
          <w:sz w:val="24"/>
          <w:szCs w:val="24"/>
        </w:rPr>
        <w:t>.</w:t>
      </w:r>
    </w:p>
    <w:sectPr w:rsidR="009D2DD4" w:rsidRPr="009C062C" w:rsidSect="00C0099B">
      <w:footerReference w:type="default" r:id="rId7"/>
      <w:footerReference w:type="first" r:id="rId8"/>
      <w:pgSz w:w="11907" w:h="16840"/>
      <w:pgMar w:top="1134" w:right="1701" w:bottom="1701" w:left="2268"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sto MT">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A6A" w:rsidRDefault="009D2DD4">
    <w:pPr>
      <w:pStyle w:val="Pidipagina"/>
      <w:jc w:val="center"/>
    </w:pPr>
    <w:r>
      <w:fldChar w:fldCharType="begin"/>
    </w:r>
    <w:r>
      <w:instrText xml:space="preserve"> PAGE   </w:instrText>
    </w:r>
    <w:r>
      <w:instrText xml:space="preserve">\* MERGEFORMAT </w:instrText>
    </w:r>
    <w:r>
      <w:fldChar w:fldCharType="separate"/>
    </w:r>
    <w:r>
      <w:rPr>
        <w:noProof/>
      </w:rPr>
      <w:t>5</w:t>
    </w:r>
    <w:r>
      <w:fldChar w:fldCharType="end"/>
    </w:r>
  </w:p>
  <w:p w:rsidR="00300A6A" w:rsidRDefault="009D2DD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7E6" w:rsidRDefault="009D2DD4">
    <w:pPr>
      <w:pStyle w:val="Pidipagina"/>
      <w:jc w:val="center"/>
    </w:pPr>
    <w:r>
      <w:fldChar w:fldCharType="begin"/>
    </w:r>
    <w:r>
      <w:instrText>PAGE   \* MERGEFORMAT</w:instrText>
    </w:r>
    <w:r>
      <w:fldChar w:fldCharType="separate"/>
    </w:r>
    <w:r w:rsidRPr="009D2DD4">
      <w:rPr>
        <w:noProof/>
        <w:lang w:val="it-IT"/>
      </w:rPr>
      <w:t>1</w:t>
    </w:r>
    <w:r>
      <w:fldChar w:fldCharType="end"/>
    </w:r>
  </w:p>
  <w:p w:rsidR="00300A6A" w:rsidRDefault="009D2DD4">
    <w:pPr>
      <w:pStyle w:val="Pidipa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07896"/>
    <w:multiLevelType w:val="hybridMultilevel"/>
    <w:tmpl w:val="A4168B7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D4"/>
    <w:rsid w:val="00743A35"/>
    <w:rsid w:val="009D2D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2DD4"/>
    <w:pPr>
      <w:overflowPunct w:val="0"/>
      <w:autoSpaceDE w:val="0"/>
      <w:autoSpaceDN w:val="0"/>
      <w:adjustRightInd w:val="0"/>
      <w:spacing w:after="0" w:line="240" w:lineRule="auto"/>
      <w:textAlignment w:val="baseline"/>
    </w:pPr>
    <w:rPr>
      <w:rFonts w:ascii="Calisto MT" w:eastAsia="Times New Roman" w:hAnsi="Calisto MT" w:cs="Times New Roman"/>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9D2DD4"/>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9D2DD4"/>
    <w:rPr>
      <w:rFonts w:ascii="Calisto MT" w:eastAsia="Times New Roman" w:hAnsi="Calisto MT" w:cs="Times New Roman"/>
      <w:sz w:val="28"/>
      <w:szCs w:val="20"/>
      <w:lang w:val="x-none" w:eastAsia="x-none"/>
    </w:rPr>
  </w:style>
  <w:style w:type="paragraph" w:styleId="NormaleWeb">
    <w:name w:val="Normal (Web)"/>
    <w:basedOn w:val="Normale"/>
    <w:uiPriority w:val="99"/>
    <w:unhideWhenUsed/>
    <w:rsid w:val="009D2DD4"/>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2DD4"/>
    <w:pPr>
      <w:overflowPunct w:val="0"/>
      <w:autoSpaceDE w:val="0"/>
      <w:autoSpaceDN w:val="0"/>
      <w:adjustRightInd w:val="0"/>
      <w:spacing w:after="0" w:line="240" w:lineRule="auto"/>
      <w:textAlignment w:val="baseline"/>
    </w:pPr>
    <w:rPr>
      <w:rFonts w:ascii="Calisto MT" w:eastAsia="Times New Roman" w:hAnsi="Calisto MT" w:cs="Times New Roman"/>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9D2DD4"/>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9D2DD4"/>
    <w:rPr>
      <w:rFonts w:ascii="Calisto MT" w:eastAsia="Times New Roman" w:hAnsi="Calisto MT" w:cs="Times New Roman"/>
      <w:sz w:val="28"/>
      <w:szCs w:val="20"/>
      <w:lang w:val="x-none" w:eastAsia="x-none"/>
    </w:rPr>
  </w:style>
  <w:style w:type="paragraph" w:styleId="NormaleWeb">
    <w:name w:val="Normal (Web)"/>
    <w:basedOn w:val="Normale"/>
    <w:uiPriority w:val="99"/>
    <w:unhideWhenUsed/>
    <w:rsid w:val="009D2DD4"/>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1410</Words>
  <Characters>8043</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Riva Crugnola Elena</dc:creator>
  <cp:lastModifiedBy>Riva Crugnola Elena</cp:lastModifiedBy>
  <cp:revision>1</cp:revision>
  <dcterms:created xsi:type="dcterms:W3CDTF">2016-05-23T10:20:00Z</dcterms:created>
  <dcterms:modified xsi:type="dcterms:W3CDTF">2016-05-23T10:27:00Z</dcterms:modified>
</cp:coreProperties>
</file>