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AC" w:rsidRDefault="00FD3BAC" w:rsidP="00FD3BAC">
      <w:pPr>
        <w:pStyle w:val="NormaleWeb"/>
        <w:kinsoku w:val="0"/>
        <w:overflowPunct w:val="0"/>
        <w:spacing w:before="0" w:beforeAutospacing="0" w:after="0" w:afterAutospacing="0"/>
        <w:ind w:firstLine="418"/>
        <w:jc w:val="center"/>
        <w:textAlignment w:val="baseline"/>
      </w:pPr>
      <w:r w:rsidRPr="00FD3BAC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4980C5C" wp14:editId="181EED0E">
            <wp:simplePos x="0" y="0"/>
            <wp:positionH relativeFrom="column">
              <wp:posOffset>-598170</wp:posOffset>
            </wp:positionH>
            <wp:positionV relativeFrom="paragraph">
              <wp:posOffset>6985</wp:posOffset>
            </wp:positionV>
            <wp:extent cx="1002030" cy="815340"/>
            <wp:effectExtent l="0" t="0" r="7620" b="3810"/>
            <wp:wrapTight wrapText="bothSides">
              <wp:wrapPolygon edited="0">
                <wp:start x="8213" y="0"/>
                <wp:lineTo x="0" y="5551"/>
                <wp:lineTo x="0" y="17159"/>
                <wp:lineTo x="7802" y="21196"/>
                <wp:lineTo x="9445" y="21196"/>
                <wp:lineTo x="13141" y="21196"/>
                <wp:lineTo x="13551" y="21196"/>
                <wp:lineTo x="21354" y="15645"/>
                <wp:lineTo x="21354" y="4542"/>
                <wp:lineTo x="19711" y="3533"/>
                <wp:lineTo x="11909" y="0"/>
                <wp:lineTo x="8213" y="0"/>
              </wp:wrapPolygon>
            </wp:wrapTight>
            <wp:docPr id="205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8153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7517">
        <w:rPr>
          <w:rFonts w:asciiTheme="majorHAnsi" w:eastAsia="Arial" w:hAnsi="Arial" w:cs="Arial"/>
          <w:color w:val="CC6600"/>
          <w:sz w:val="48"/>
          <w:szCs w:val="4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OSSERVATORIO SULLA GIUSTIZIA CIVILE</w:t>
      </w:r>
    </w:p>
    <w:p w:rsidR="00FD3BAC" w:rsidRDefault="00FD3BAC" w:rsidP="00FD3BAC">
      <w:pPr>
        <w:pStyle w:val="NormaleWeb"/>
        <w:kinsoku w:val="0"/>
        <w:overflowPunct w:val="0"/>
        <w:spacing w:before="0" w:beforeAutospacing="0" w:after="0" w:afterAutospacing="0"/>
        <w:ind w:firstLine="418"/>
        <w:jc w:val="center"/>
        <w:textAlignment w:val="baseline"/>
      </w:pPr>
      <w:r w:rsidRPr="00987517">
        <w:rPr>
          <w:rFonts w:asciiTheme="majorHAnsi" w:eastAsia="Arial" w:hAnsi="Arial" w:cs="Arial"/>
          <w:color w:val="CC6600"/>
          <w:sz w:val="48"/>
          <w:szCs w:val="4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DI MILANO</w:t>
      </w:r>
    </w:p>
    <w:p w:rsidR="00123186" w:rsidRDefault="00FD3BAC" w:rsidP="00FD3BAC">
      <w:pPr>
        <w:pStyle w:val="NormaleWeb"/>
        <w:kinsoku w:val="0"/>
        <w:overflowPunct w:val="0"/>
        <w:spacing w:before="0" w:beforeAutospacing="0" w:after="0" w:afterAutospacing="0"/>
        <w:ind w:firstLine="418"/>
        <w:jc w:val="center"/>
        <w:textAlignment w:val="baseline"/>
        <w:rPr>
          <w:rFonts w:ascii="Roboto" w:eastAsia="Roboto" w:hAnsi="Roboto" w:cs="Roboto"/>
          <w:b/>
          <w:bCs/>
          <w:color w:val="000000" w:themeColor="text1" w:themeShade="BF"/>
          <w:sz w:val="48"/>
          <w:szCs w:val="48"/>
        </w:rPr>
      </w:pPr>
      <w:r w:rsidRPr="00987517">
        <w:rPr>
          <w:rFonts w:asciiTheme="majorHAnsi" w:eastAsia="Arial" w:hAnsi="Arial" w:cs="Arial"/>
          <w:color w:val="CC6600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947D92">
        <w:rPr>
          <w:rFonts w:ascii="Roboto" w:eastAsia="Roboto" w:hAnsi="Roboto" w:cs="Roboto"/>
          <w:b/>
          <w:bCs/>
          <w:color w:val="000000" w:themeColor="text1" w:themeShade="BF"/>
          <w:sz w:val="32"/>
          <w:szCs w:val="32"/>
        </w:rPr>
        <w:t xml:space="preserve">Gruppo Danno alla Persona </w:t>
      </w:r>
      <w:r w:rsidR="0090218A" w:rsidRPr="00947D92">
        <w:rPr>
          <w:rFonts w:ascii="Roboto" w:eastAsia="Roboto" w:hAnsi="Roboto" w:cs="Roboto"/>
          <w:b/>
          <w:bCs/>
          <w:color w:val="000000" w:themeColor="text1" w:themeShade="BF"/>
          <w:sz w:val="32"/>
          <w:szCs w:val="32"/>
        </w:rPr>
        <w:t>Gruppo</w:t>
      </w:r>
      <w:r w:rsidR="0090218A">
        <w:rPr>
          <w:rFonts w:ascii="Roboto" w:eastAsia="Roboto" w:hAnsi="Roboto" w:cs="Roboto"/>
          <w:b/>
          <w:bCs/>
          <w:color w:val="000000" w:themeColor="text1" w:themeShade="BF"/>
          <w:sz w:val="32"/>
          <w:szCs w:val="32"/>
        </w:rPr>
        <w:t xml:space="preserve"> «</w:t>
      </w:r>
      <w:r w:rsidRPr="00947D92">
        <w:rPr>
          <w:rFonts w:ascii="Roboto" w:eastAsia="Roboto" w:hAnsi="Roboto" w:cs="Roboto"/>
          <w:b/>
          <w:bCs/>
          <w:color w:val="000000" w:themeColor="text1" w:themeShade="BF"/>
          <w:sz w:val="32"/>
          <w:szCs w:val="32"/>
        </w:rPr>
        <w:t>Otto</w:t>
      </w:r>
      <w:r>
        <w:rPr>
          <w:rFonts w:ascii="Roboto" w:eastAsia="Roboto" w:hAnsi="Roboto" w:cs="Roboto"/>
          <w:b/>
          <w:bCs/>
          <w:color w:val="000000" w:themeColor="text1" w:themeShade="BF"/>
          <w:sz w:val="48"/>
          <w:szCs w:val="48"/>
        </w:rPr>
        <w:t>»</w:t>
      </w:r>
    </w:p>
    <w:p w:rsidR="00FD3BAC" w:rsidRPr="00947D92" w:rsidRDefault="00FD3BAC" w:rsidP="00C70B66">
      <w:pPr>
        <w:jc w:val="center"/>
        <w:rPr>
          <w:rFonts w:ascii="Roboto" w:eastAsia="Roboto" w:hAnsi="Roboto" w:cs="Roboto"/>
          <w:b/>
          <w:bCs/>
          <w:color w:val="000000" w:themeColor="text1" w:themeShade="BF"/>
          <w:sz w:val="28"/>
          <w:szCs w:val="28"/>
        </w:rPr>
      </w:pPr>
      <w:r w:rsidRPr="00947D92">
        <w:rPr>
          <w:rFonts w:ascii="Roboto" w:eastAsia="Roboto" w:hAnsi="Roboto" w:cs="Roboto"/>
          <w:b/>
          <w:bCs/>
          <w:color w:val="000000" w:themeColor="text1" w:themeShade="BF"/>
          <w:sz w:val="28"/>
          <w:szCs w:val="28"/>
        </w:rPr>
        <w:t>ORIENTAM</w:t>
      </w:r>
      <w:r w:rsidR="00C70B66">
        <w:rPr>
          <w:rFonts w:ascii="Roboto" w:eastAsia="Roboto" w:hAnsi="Roboto" w:cs="Roboto"/>
          <w:b/>
          <w:bCs/>
          <w:color w:val="000000" w:themeColor="text1" w:themeShade="BF"/>
          <w:sz w:val="28"/>
          <w:szCs w:val="28"/>
        </w:rPr>
        <w:t>ENTI IN TEMA DI MICROPERMANENTI</w:t>
      </w:r>
      <w:r w:rsidRPr="00947D92">
        <w:rPr>
          <w:rFonts w:ascii="Roboto" w:eastAsia="Roboto" w:hAnsi="Roboto" w:cs="Roboto"/>
          <w:b/>
          <w:bCs/>
          <w:color w:val="000000" w:themeColor="text1" w:themeShade="BF"/>
          <w:sz w:val="28"/>
          <w:szCs w:val="28"/>
        </w:rPr>
        <w:t xml:space="preserve"> NEL DISTRETTO DI MILANO</w:t>
      </w:r>
    </w:p>
    <w:p w:rsidR="008F5554" w:rsidRDefault="0090218A" w:rsidP="00FD3BAC">
      <w:pPr>
        <w:pStyle w:val="NormaleWeb"/>
        <w:spacing w:before="0" w:beforeAutospacing="0" w:after="0" w:afterAutospacing="0"/>
        <w:jc w:val="both"/>
        <w:rPr>
          <w:rFonts w:eastAsia="Arial"/>
          <w:b/>
          <w:color w:val="000000"/>
          <w:u w:val="single"/>
        </w:rPr>
      </w:pPr>
      <w:r>
        <w:rPr>
          <w:rFonts w:eastAsia="Arial"/>
          <w:b/>
          <w:color w:val="000000"/>
          <w:u w:val="single"/>
        </w:rPr>
        <w:t>1. Genesi e scopo del</w:t>
      </w:r>
      <w:r w:rsidR="008F5554">
        <w:rPr>
          <w:rFonts w:eastAsia="Arial"/>
          <w:b/>
          <w:color w:val="000000"/>
          <w:u w:val="single"/>
        </w:rPr>
        <w:t xml:space="preserve"> “Gruppo Otto”</w:t>
      </w:r>
    </w:p>
    <w:p w:rsidR="00FD3BAC" w:rsidRPr="008F5554" w:rsidRDefault="00FD3BAC" w:rsidP="00FD3BAC">
      <w:pPr>
        <w:pStyle w:val="NormaleWeb"/>
        <w:spacing w:before="0" w:beforeAutospacing="0" w:after="0" w:afterAutospacing="0"/>
        <w:jc w:val="both"/>
        <w:rPr>
          <w:rFonts w:eastAsia="Arial"/>
          <w:b/>
          <w:color w:val="000000"/>
          <w:u w:val="single"/>
        </w:rPr>
      </w:pPr>
      <w:r>
        <w:rPr>
          <w:rFonts w:eastAsia="Arial"/>
          <w:color w:val="000000"/>
        </w:rPr>
        <w:t xml:space="preserve">&gt; </w:t>
      </w:r>
      <w:r w:rsidRPr="00FD3BAC">
        <w:rPr>
          <w:rFonts w:eastAsia="Arial"/>
          <w:color w:val="000000"/>
        </w:rPr>
        <w:t>L’ art. 2 D.L. n. 158-2012 convertito in L. 189-2012 (</w:t>
      </w:r>
      <w:r w:rsidRPr="00FD3BAC">
        <w:rPr>
          <w:rFonts w:eastAsia="Arial"/>
          <w:b/>
          <w:bCs/>
          <w:color w:val="000000"/>
        </w:rPr>
        <w:t>c.d. Legge Balduzzi</w:t>
      </w:r>
      <w:r w:rsidRPr="00FD3BAC">
        <w:rPr>
          <w:rFonts w:eastAsia="Arial"/>
          <w:color w:val="000000"/>
        </w:rPr>
        <w:t>), ha esteso la disciplina dell’art. 139 C.d.A. all’esercente la professione sanitaria.</w:t>
      </w:r>
    </w:p>
    <w:p w:rsidR="00FD3BAC" w:rsidRPr="00FD3BAC" w:rsidRDefault="00FD3BAC" w:rsidP="00FD3BAC">
      <w:pPr>
        <w:pStyle w:val="NormaleWeb"/>
        <w:spacing w:before="0" w:beforeAutospacing="0" w:after="0" w:afterAutospacing="0"/>
        <w:jc w:val="both"/>
      </w:pPr>
      <w:r w:rsidRPr="00FD3BAC">
        <w:rPr>
          <w:rFonts w:eastAsia="Arial"/>
          <w:color w:val="000000"/>
        </w:rPr>
        <w:t xml:space="preserve">&gt; L’ art. 32 comma 3-ter e comma 3-quiater D.L. 1/2012 convertito in L.27/2012, </w:t>
      </w:r>
      <w:r w:rsidRPr="00FD3BAC">
        <w:rPr>
          <w:rFonts w:eastAsia="Arial"/>
          <w:b/>
          <w:bCs/>
          <w:color w:val="000000"/>
        </w:rPr>
        <w:t>ha modificato l</w:t>
      </w:r>
      <w:r w:rsidR="0090218A">
        <w:rPr>
          <w:rFonts w:eastAsia="Arial"/>
          <w:b/>
          <w:bCs/>
          <w:color w:val="000000"/>
        </w:rPr>
        <w:t>e modalità di accertamento della</w:t>
      </w:r>
      <w:r w:rsidRPr="00FD3BAC">
        <w:rPr>
          <w:rFonts w:eastAsia="Arial"/>
          <w:b/>
          <w:bCs/>
          <w:color w:val="000000"/>
        </w:rPr>
        <w:t xml:space="preserve"> lesione biologica</w:t>
      </w:r>
      <w:r w:rsidRPr="00FD3BAC">
        <w:rPr>
          <w:rFonts w:eastAsia="Arial"/>
          <w:color w:val="000000"/>
        </w:rPr>
        <w:t>.</w:t>
      </w:r>
    </w:p>
    <w:p w:rsidR="00FD3BAC" w:rsidRDefault="00FD3BAC" w:rsidP="00FD3BAC">
      <w:pPr>
        <w:pStyle w:val="NormaleWeb"/>
        <w:spacing w:before="0" w:beforeAutospacing="0" w:after="0" w:afterAutospacing="0"/>
        <w:jc w:val="both"/>
        <w:rPr>
          <w:rFonts w:eastAsia="Arial"/>
          <w:color w:val="000000"/>
        </w:rPr>
      </w:pPr>
      <w:r w:rsidRPr="00FD3BAC">
        <w:rPr>
          <w:rFonts w:eastAsia="Arial"/>
          <w:color w:val="000000"/>
        </w:rPr>
        <w:t>Queste novità legislative</w:t>
      </w:r>
      <w:r w:rsidR="00987517">
        <w:rPr>
          <w:rFonts w:eastAsia="Arial"/>
          <w:color w:val="000000"/>
        </w:rPr>
        <w:t xml:space="preserve"> -</w:t>
      </w:r>
      <w:r w:rsidRPr="00FD3BAC">
        <w:rPr>
          <w:rFonts w:eastAsia="Arial"/>
          <w:color w:val="000000"/>
        </w:rPr>
        <w:t xml:space="preserve"> che hanno modificato l’art. 139 Cod. Assicurazioni private in relazione sia alle modalità di accertamento medico legale del danno biologico temporaneo sia in relazione all’area di applicazione</w:t>
      </w:r>
      <w:r w:rsidR="00987517">
        <w:rPr>
          <w:rFonts w:eastAsia="Arial"/>
          <w:color w:val="000000"/>
        </w:rPr>
        <w:t xml:space="preserve"> -</w:t>
      </w:r>
      <w:r>
        <w:rPr>
          <w:rFonts w:eastAsia="Arial"/>
          <w:color w:val="000000"/>
        </w:rPr>
        <w:t xml:space="preserve"> </w:t>
      </w:r>
      <w:r w:rsidRPr="00FD3BAC">
        <w:rPr>
          <w:rFonts w:eastAsia="Arial"/>
          <w:color w:val="000000"/>
        </w:rPr>
        <w:t>hanno dato luogo a differenti orientamenti giurisprudenziali che l’Osservatorio milanese ha ritenuto utile rilevare per individuare le soluzioni maggiormente condivise</w:t>
      </w:r>
      <w:r>
        <w:rPr>
          <w:rFonts w:eastAsia="Arial"/>
          <w:color w:val="000000"/>
        </w:rPr>
        <w:t xml:space="preserve"> </w:t>
      </w:r>
      <w:r w:rsidRPr="00FD3BAC">
        <w:rPr>
          <w:rFonts w:eastAsia="Arial"/>
          <w:color w:val="000000"/>
        </w:rPr>
        <w:t>e favorire la prevedibilità delle decisioni</w:t>
      </w:r>
      <w:r>
        <w:rPr>
          <w:rFonts w:eastAsia="Arial"/>
          <w:color w:val="000000"/>
        </w:rPr>
        <w:t>.</w:t>
      </w:r>
    </w:p>
    <w:p w:rsidR="0011012D" w:rsidRDefault="0011012D" w:rsidP="00FD3BAC">
      <w:pPr>
        <w:pStyle w:val="NormaleWeb"/>
        <w:spacing w:before="0" w:beforeAutospacing="0" w:after="0" w:afterAutospacing="0"/>
        <w:jc w:val="both"/>
        <w:rPr>
          <w:rFonts w:eastAsia="Arial"/>
          <w:color w:val="000000"/>
        </w:rPr>
      </w:pPr>
    </w:p>
    <w:p w:rsidR="0011012D" w:rsidRDefault="0011012D" w:rsidP="00FD3BAC">
      <w:pPr>
        <w:pStyle w:val="NormaleWeb"/>
        <w:spacing w:before="0" w:beforeAutospacing="0" w:after="0" w:afterAutospacing="0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E ciò in quanto la Corte di Cassazione -a partire dalla nota sentenza n. 12408/2011- negli anni successivi richiamata e confermata, ha stabilito che, “in difetto di previsioni normative (come l’art. 139 del codice delle assicurazioni private, per le lesioni di lieve entità conseguenti alla sola circolazione dei veicoli a motore e dei natanti)”, nella liquidazione del danno non patrimoniale alla persona da lesione dell’integrità </w:t>
      </w:r>
      <w:proofErr w:type="spellStart"/>
      <w:r>
        <w:rPr>
          <w:rFonts w:eastAsia="Arial"/>
          <w:color w:val="000000"/>
        </w:rPr>
        <w:t>psico</w:t>
      </w:r>
      <w:proofErr w:type="spellEnd"/>
      <w:r>
        <w:rPr>
          <w:rFonts w:eastAsia="Arial"/>
          <w:color w:val="000000"/>
        </w:rPr>
        <w:t xml:space="preserve"> fisica, i Giudici di merito devono adottare parametri di valutazione uniformi che “vanno individuati in quelli tabellari elaborati presso il Tribunale di Milano, da modularsi a seconda delle circostanze del caso concreto” con la conseguenza che l’applicazione di diverse tabelle può essere fatta valere, in sede di legittimità, come vizio di violazione di Legge.</w:t>
      </w:r>
    </w:p>
    <w:p w:rsidR="0011012D" w:rsidRDefault="0011012D" w:rsidP="00FD3BAC">
      <w:pPr>
        <w:pStyle w:val="NormaleWeb"/>
        <w:spacing w:before="0" w:beforeAutospacing="0" w:after="0" w:afterAutospacing="0"/>
        <w:jc w:val="both"/>
        <w:rPr>
          <w:rFonts w:eastAsia="Arial"/>
          <w:color w:val="000000"/>
        </w:rPr>
      </w:pPr>
    </w:p>
    <w:p w:rsidR="0011012D" w:rsidRDefault="0011012D" w:rsidP="00FD3BAC">
      <w:pPr>
        <w:pStyle w:val="NormaleWeb"/>
        <w:spacing w:before="0" w:beforeAutospacing="0" w:after="0" w:afterAutospacing="0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Inoltre la Corte Costituzionale, con la sentenza n. 235/2014, ha stabilito che i valori monetari previsti dall’art. 139 Cod. Assicurazioni per la liquidazione del danno biologico – permanente e </w:t>
      </w:r>
      <w:r w:rsidR="0090218A">
        <w:rPr>
          <w:rFonts w:eastAsia="Arial"/>
          <w:color w:val="000000"/>
        </w:rPr>
        <w:t>temporaneo</w:t>
      </w:r>
      <w:r>
        <w:rPr>
          <w:rFonts w:eastAsia="Arial"/>
          <w:color w:val="000000"/>
        </w:rPr>
        <w:t xml:space="preserve">, conseguente a lesioni di </w:t>
      </w:r>
      <w:r w:rsidR="0090218A">
        <w:rPr>
          <w:rFonts w:eastAsia="Arial"/>
          <w:color w:val="000000"/>
        </w:rPr>
        <w:t>lieve</w:t>
      </w:r>
      <w:r>
        <w:rPr>
          <w:rFonts w:eastAsia="Arial"/>
          <w:color w:val="000000"/>
        </w:rPr>
        <w:t xml:space="preserve"> entità derivanti da incidenti stradali- no</w:t>
      </w:r>
      <w:r w:rsidR="00987517">
        <w:rPr>
          <w:rFonts w:eastAsia="Arial"/>
          <w:color w:val="000000"/>
        </w:rPr>
        <w:t>n</w:t>
      </w:r>
      <w:r>
        <w:rPr>
          <w:rFonts w:eastAsia="Arial"/>
          <w:color w:val="000000"/>
        </w:rPr>
        <w:t xml:space="preserve"> sono in contrasto né con la Costituzione italiana, né con i precetti della normativa </w:t>
      </w:r>
      <w:r w:rsidR="0090218A">
        <w:rPr>
          <w:rFonts w:eastAsia="Arial"/>
          <w:color w:val="000000"/>
        </w:rPr>
        <w:t>europea</w:t>
      </w:r>
      <w:r>
        <w:rPr>
          <w:rFonts w:eastAsia="Arial"/>
          <w:color w:val="000000"/>
        </w:rPr>
        <w:t>; le modalità di accertamento prescritte dal citato art. 32 si applicano anche “ai giudizi in corso (ancorch</w:t>
      </w:r>
      <w:r w:rsidR="00987517">
        <w:rPr>
          <w:rFonts w:eastAsia="Arial"/>
          <w:color w:val="000000"/>
        </w:rPr>
        <w:t>é</w:t>
      </w:r>
      <w:r>
        <w:rPr>
          <w:rFonts w:eastAsia="Arial"/>
          <w:color w:val="000000"/>
        </w:rPr>
        <w:t xml:space="preserve"> relativi a sinistri verificatisi in data antecedente alla loro entrata in vigore</w:t>
      </w:r>
      <w:r w:rsidR="00F62FAB">
        <w:rPr>
          <w:rFonts w:eastAsia="Arial"/>
          <w:color w:val="000000"/>
        </w:rPr>
        <w:t>”)</w:t>
      </w:r>
    </w:p>
    <w:p w:rsidR="00F62FAB" w:rsidRDefault="00F62FAB" w:rsidP="00FD3BAC">
      <w:pPr>
        <w:pStyle w:val="NormaleWeb"/>
        <w:spacing w:before="0" w:beforeAutospacing="0" w:after="0" w:afterAutospacing="0"/>
        <w:jc w:val="both"/>
        <w:rPr>
          <w:rFonts w:eastAsia="Arial"/>
          <w:color w:val="000000"/>
        </w:rPr>
      </w:pPr>
    </w:p>
    <w:p w:rsidR="00F62FAB" w:rsidRDefault="00F62FAB" w:rsidP="00FD3BAC">
      <w:pPr>
        <w:pStyle w:val="NormaleWeb"/>
        <w:spacing w:before="0" w:beforeAutospacing="0" w:after="0" w:afterAutospacing="0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Infine, la Tabella Milanese, coerente con i </w:t>
      </w:r>
      <w:proofErr w:type="spellStart"/>
      <w:r w:rsidRPr="00987517">
        <w:rPr>
          <w:rFonts w:eastAsia="Arial"/>
          <w:i/>
          <w:color w:val="000000"/>
        </w:rPr>
        <w:t>dicta</w:t>
      </w:r>
      <w:proofErr w:type="spellEnd"/>
      <w:r>
        <w:rPr>
          <w:rFonts w:eastAsia="Arial"/>
          <w:color w:val="000000"/>
        </w:rPr>
        <w:t xml:space="preserve"> delle Sezioni Unite 11.11.2008 (c.d. sentenz</w:t>
      </w:r>
      <w:r w:rsidR="00987517">
        <w:rPr>
          <w:rFonts w:eastAsia="Arial"/>
          <w:color w:val="000000"/>
        </w:rPr>
        <w:t>e</w:t>
      </w:r>
      <w:r>
        <w:rPr>
          <w:rFonts w:eastAsia="Arial"/>
          <w:color w:val="000000"/>
        </w:rPr>
        <w:t xml:space="preserve"> di San Martino), prevede valori monetari e modalità di personalizzazione del danno affatto diversi da quelli disciplinati dall’art. 139 Cod. Assicurazioni.</w:t>
      </w:r>
    </w:p>
    <w:p w:rsidR="00F62FAB" w:rsidRDefault="00F62FAB" w:rsidP="00FD3BAC">
      <w:pPr>
        <w:pStyle w:val="NormaleWeb"/>
        <w:spacing w:before="0" w:beforeAutospacing="0" w:after="0" w:afterAutospacing="0"/>
        <w:jc w:val="both"/>
        <w:rPr>
          <w:rFonts w:eastAsia="Arial"/>
          <w:color w:val="000000"/>
        </w:rPr>
      </w:pPr>
    </w:p>
    <w:p w:rsidR="00F62FAB" w:rsidRDefault="00F62FAB" w:rsidP="00FD3BAC">
      <w:pPr>
        <w:pStyle w:val="NormaleWeb"/>
        <w:spacing w:before="0" w:beforeAutospacing="0" w:after="0" w:afterAutospacing="0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Da siffatti presupposti si è ritenuto di assoluta importanza </w:t>
      </w:r>
      <w:r w:rsidR="0090218A">
        <w:rPr>
          <w:rFonts w:eastAsia="Arial"/>
          <w:color w:val="000000"/>
        </w:rPr>
        <w:t>verificare</w:t>
      </w:r>
      <w:r>
        <w:rPr>
          <w:rFonts w:eastAsia="Arial"/>
          <w:color w:val="000000"/>
        </w:rPr>
        <w:t xml:space="preserve"> se e con quali modalità, i Giudici del distretto di Milano applichino in concreto la tabella normativa (ex art. 139 citato), quella milanese ed i nuovi precetti legislativi.</w:t>
      </w:r>
    </w:p>
    <w:p w:rsidR="008F5554" w:rsidRDefault="008F5554" w:rsidP="00F62FAB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8F5554" w:rsidRPr="008F5554" w:rsidRDefault="0090218A" w:rsidP="00F62FAB">
      <w:pPr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 xml:space="preserve">2. </w:t>
      </w:r>
      <w:r w:rsidR="008F5554" w:rsidRPr="008F5554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La scheda di rilevamento</w:t>
      </w:r>
    </w:p>
    <w:p w:rsidR="00F62FAB" w:rsidRPr="00F62FAB" w:rsidRDefault="00F62FAB" w:rsidP="00F62FAB">
      <w:pPr>
        <w:jc w:val="both"/>
        <w:rPr>
          <w:rFonts w:ascii="Times New Roman" w:eastAsia="Roboto" w:hAnsi="Times New Roman" w:cs="Times New Roman"/>
          <w:bCs/>
          <w:color w:val="000000" w:themeColor="text1" w:themeShade="BF"/>
          <w:sz w:val="24"/>
          <w:szCs w:val="24"/>
        </w:rPr>
      </w:pPr>
      <w:r w:rsidRPr="00F62FAB">
        <w:rPr>
          <w:rFonts w:ascii="Times New Roman" w:eastAsia="Arial" w:hAnsi="Times New Roman" w:cs="Times New Roman"/>
          <w:color w:val="000000"/>
          <w:sz w:val="24"/>
          <w:szCs w:val="24"/>
        </w:rPr>
        <w:t>Per il raggiungimento di questi obiettivi, l’Osservatorio milanese già nel maggio 2015, ha elaborato una “</w:t>
      </w:r>
      <w:r w:rsidR="00987517" w:rsidRPr="00987517">
        <w:rPr>
          <w:rFonts w:ascii="Times New Roman" w:eastAsia="Arial" w:hAnsi="Times New Roman" w:cs="Times New Roman"/>
          <w:i/>
          <w:color w:val="000000"/>
          <w:sz w:val="24"/>
          <w:szCs w:val="24"/>
        </w:rPr>
        <w:t>S</w:t>
      </w:r>
      <w:r w:rsidRPr="00987517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cheda di rilevamento degli orientamenti di </w:t>
      </w:r>
      <w:r w:rsidR="00987517">
        <w:rPr>
          <w:rFonts w:ascii="Times New Roman" w:eastAsia="Arial" w:hAnsi="Times New Roman" w:cs="Times New Roman"/>
          <w:i/>
          <w:color w:val="000000"/>
          <w:sz w:val="24"/>
          <w:szCs w:val="24"/>
        </w:rPr>
        <w:t>S</w:t>
      </w:r>
      <w:r w:rsidRPr="00987517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ezione sulla liquidazione giudiziale </w:t>
      </w:r>
      <w:r w:rsidR="0090218A" w:rsidRPr="00987517">
        <w:rPr>
          <w:rFonts w:ascii="Times New Roman" w:eastAsia="Arial" w:hAnsi="Times New Roman" w:cs="Times New Roman"/>
          <w:i/>
          <w:color w:val="000000"/>
          <w:sz w:val="24"/>
          <w:szCs w:val="24"/>
        </w:rPr>
        <w:t>dei risarcimenti</w:t>
      </w:r>
      <w:r w:rsidRPr="00987517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 </w:t>
      </w:r>
      <w:r w:rsidR="0090218A" w:rsidRPr="00987517">
        <w:rPr>
          <w:rFonts w:ascii="Times New Roman" w:eastAsia="Arial" w:hAnsi="Times New Roman" w:cs="Times New Roman"/>
          <w:i/>
          <w:color w:val="000000"/>
          <w:sz w:val="24"/>
          <w:szCs w:val="24"/>
        </w:rPr>
        <w:t>dei danni</w:t>
      </w:r>
      <w:r w:rsidRPr="00987517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 biologico di lieve entità</w:t>
      </w:r>
      <w:r w:rsidRPr="00F62FA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” che, a seguito della costituzione del “Gruppo Danno alla Persona” si è deciso di utilizzare quale strumento di primo lavoro del costituto “Gruppo otto” dedicato infatti allo studio degli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“</w:t>
      </w:r>
      <w:r w:rsidRPr="00987517">
        <w:rPr>
          <w:rFonts w:ascii="Times New Roman" w:eastAsia="Roboto" w:hAnsi="Times New Roman" w:cs="Times New Roman"/>
          <w:bCs/>
          <w:i/>
          <w:color w:val="000000" w:themeColor="text1" w:themeShade="BF"/>
          <w:sz w:val="24"/>
          <w:szCs w:val="24"/>
        </w:rPr>
        <w:t xml:space="preserve">Orientamenti in tema di </w:t>
      </w:r>
      <w:proofErr w:type="spellStart"/>
      <w:r w:rsidRPr="00987517">
        <w:rPr>
          <w:rFonts w:ascii="Times New Roman" w:eastAsia="Roboto" w:hAnsi="Times New Roman" w:cs="Times New Roman"/>
          <w:bCs/>
          <w:i/>
          <w:color w:val="000000" w:themeColor="text1" w:themeShade="BF"/>
          <w:sz w:val="24"/>
          <w:szCs w:val="24"/>
        </w:rPr>
        <w:t>micropermanenti</w:t>
      </w:r>
      <w:proofErr w:type="spellEnd"/>
      <w:r w:rsidRPr="00987517">
        <w:rPr>
          <w:rFonts w:ascii="Times New Roman" w:eastAsia="Roboto" w:hAnsi="Times New Roman" w:cs="Times New Roman"/>
          <w:bCs/>
          <w:i/>
          <w:color w:val="000000" w:themeColor="text1" w:themeShade="BF"/>
          <w:sz w:val="24"/>
          <w:szCs w:val="24"/>
        </w:rPr>
        <w:t xml:space="preserve"> nel distretto di Milan</w:t>
      </w:r>
      <w:r w:rsidRPr="00F62FAB">
        <w:rPr>
          <w:rFonts w:ascii="Times New Roman" w:eastAsia="Roboto" w:hAnsi="Times New Roman" w:cs="Times New Roman"/>
          <w:bCs/>
          <w:color w:val="000000" w:themeColor="text1" w:themeShade="BF"/>
          <w:sz w:val="24"/>
          <w:szCs w:val="24"/>
        </w:rPr>
        <w:t>o</w:t>
      </w:r>
      <w:r>
        <w:rPr>
          <w:rFonts w:ascii="Times New Roman" w:eastAsia="Roboto" w:hAnsi="Times New Roman" w:cs="Times New Roman"/>
          <w:bCs/>
          <w:color w:val="000000" w:themeColor="text1" w:themeShade="BF"/>
          <w:sz w:val="24"/>
          <w:szCs w:val="24"/>
        </w:rPr>
        <w:t>”</w:t>
      </w:r>
    </w:p>
    <w:p w:rsidR="0090218A" w:rsidRDefault="0090218A" w:rsidP="00FD3BAC">
      <w:pPr>
        <w:pStyle w:val="NormaleWeb"/>
        <w:spacing w:before="0" w:beforeAutospacing="0" w:after="0" w:afterAutospacing="0"/>
        <w:jc w:val="both"/>
        <w:rPr>
          <w:rFonts w:eastAsia="Roboto"/>
          <w:bCs/>
          <w:color w:val="000000" w:themeColor="text1" w:themeShade="BF"/>
        </w:rPr>
      </w:pPr>
    </w:p>
    <w:p w:rsidR="0090218A" w:rsidRDefault="0090218A" w:rsidP="00FD3BAC">
      <w:pPr>
        <w:pStyle w:val="NormaleWeb"/>
        <w:spacing w:before="0" w:beforeAutospacing="0" w:after="0" w:afterAutospacing="0"/>
        <w:jc w:val="both"/>
        <w:rPr>
          <w:rFonts w:eastAsia="Roboto"/>
          <w:bCs/>
          <w:color w:val="000000" w:themeColor="text1" w:themeShade="BF"/>
        </w:rPr>
      </w:pPr>
    </w:p>
    <w:p w:rsidR="0090218A" w:rsidRDefault="0090218A" w:rsidP="00FD3BAC">
      <w:pPr>
        <w:pStyle w:val="NormaleWeb"/>
        <w:spacing w:before="0" w:beforeAutospacing="0" w:after="0" w:afterAutospacing="0"/>
        <w:jc w:val="both"/>
        <w:rPr>
          <w:rFonts w:eastAsia="Roboto"/>
          <w:bCs/>
          <w:color w:val="000000" w:themeColor="text1" w:themeShade="BF"/>
        </w:rPr>
      </w:pPr>
    </w:p>
    <w:p w:rsidR="0090218A" w:rsidRDefault="0090218A" w:rsidP="00FD3BAC">
      <w:pPr>
        <w:pStyle w:val="NormaleWeb"/>
        <w:spacing w:before="0" w:beforeAutospacing="0" w:after="0" w:afterAutospacing="0"/>
        <w:jc w:val="both"/>
        <w:rPr>
          <w:rFonts w:eastAsia="Roboto"/>
          <w:bCs/>
          <w:color w:val="000000" w:themeColor="text1" w:themeShade="BF"/>
        </w:rPr>
      </w:pPr>
    </w:p>
    <w:p w:rsidR="0090218A" w:rsidRDefault="0090218A" w:rsidP="00FD3BAC">
      <w:pPr>
        <w:pStyle w:val="NormaleWeb"/>
        <w:spacing w:before="0" w:beforeAutospacing="0" w:after="0" w:afterAutospacing="0"/>
        <w:jc w:val="both"/>
        <w:rPr>
          <w:rFonts w:eastAsia="Roboto"/>
          <w:bCs/>
          <w:color w:val="000000" w:themeColor="text1" w:themeShade="BF"/>
        </w:rPr>
      </w:pPr>
    </w:p>
    <w:p w:rsidR="0090218A" w:rsidRDefault="0090218A" w:rsidP="00FD3BAC">
      <w:pPr>
        <w:pStyle w:val="NormaleWeb"/>
        <w:spacing w:before="0" w:beforeAutospacing="0" w:after="0" w:afterAutospacing="0"/>
        <w:jc w:val="both"/>
        <w:rPr>
          <w:rFonts w:eastAsia="Roboto"/>
          <w:bCs/>
          <w:color w:val="000000" w:themeColor="text1" w:themeShade="BF"/>
        </w:rPr>
      </w:pPr>
    </w:p>
    <w:p w:rsidR="0090218A" w:rsidRDefault="0090218A" w:rsidP="00FD3BAC">
      <w:pPr>
        <w:pStyle w:val="NormaleWeb"/>
        <w:spacing w:before="0" w:beforeAutospacing="0" w:after="0" w:afterAutospacing="0"/>
        <w:jc w:val="both"/>
        <w:rPr>
          <w:rFonts w:eastAsia="Roboto"/>
          <w:bCs/>
          <w:color w:val="000000" w:themeColor="text1" w:themeShade="BF"/>
        </w:rPr>
      </w:pPr>
    </w:p>
    <w:p w:rsidR="0090218A" w:rsidRDefault="0090218A" w:rsidP="00FD3BAC">
      <w:pPr>
        <w:pStyle w:val="NormaleWeb"/>
        <w:spacing w:before="0" w:beforeAutospacing="0" w:after="0" w:afterAutospacing="0"/>
        <w:jc w:val="both"/>
        <w:rPr>
          <w:rFonts w:eastAsia="Roboto"/>
          <w:bCs/>
          <w:color w:val="000000" w:themeColor="text1" w:themeShade="BF"/>
        </w:rPr>
      </w:pPr>
    </w:p>
    <w:p w:rsidR="0090218A" w:rsidRDefault="00F62FAB" w:rsidP="00FD3BAC">
      <w:pPr>
        <w:pStyle w:val="NormaleWeb"/>
        <w:spacing w:before="0" w:beforeAutospacing="0" w:after="0" w:afterAutospacing="0"/>
        <w:jc w:val="both"/>
        <w:rPr>
          <w:rFonts w:eastAsia="Roboto"/>
          <w:b/>
          <w:bCs/>
          <w:color w:val="000000" w:themeColor="text1" w:themeShade="BF"/>
        </w:rPr>
      </w:pPr>
      <w:r w:rsidRPr="00F62FAB">
        <w:rPr>
          <w:rFonts w:eastAsia="Roboto"/>
          <w:bCs/>
          <w:color w:val="000000" w:themeColor="text1" w:themeShade="BF"/>
        </w:rPr>
        <w:t>Il questionario è suddiviso in quattro brevi paragrafi, per monitorare gli orientamenti giurisprudenziali:</w:t>
      </w:r>
      <w:r w:rsidRPr="00F62FAB">
        <w:rPr>
          <w:rFonts w:eastAsia="Roboto"/>
          <w:bCs/>
          <w:color w:val="000000" w:themeColor="text1" w:themeShade="BF"/>
        </w:rPr>
        <w:br/>
      </w:r>
    </w:p>
    <w:p w:rsidR="00F62FAB" w:rsidRPr="0090218A" w:rsidRDefault="00F62FAB" w:rsidP="00FD3BAC">
      <w:pPr>
        <w:pStyle w:val="NormaleWeb"/>
        <w:spacing w:before="0" w:beforeAutospacing="0" w:after="0" w:afterAutospacing="0"/>
        <w:jc w:val="both"/>
        <w:rPr>
          <w:rFonts w:eastAsia="Roboto"/>
          <w:b/>
          <w:bCs/>
          <w:color w:val="000000" w:themeColor="text1" w:themeShade="BF"/>
        </w:rPr>
      </w:pPr>
      <w:r w:rsidRPr="008F5554">
        <w:rPr>
          <w:rFonts w:eastAsia="Roboto"/>
          <w:b/>
          <w:bCs/>
          <w:color w:val="000000" w:themeColor="text1" w:themeShade="BF"/>
        </w:rPr>
        <w:t>1)</w:t>
      </w:r>
      <w:r w:rsidRPr="00F62FAB">
        <w:rPr>
          <w:rFonts w:eastAsia="Roboto"/>
          <w:bCs/>
          <w:color w:val="000000" w:themeColor="text1" w:themeShade="BF"/>
        </w:rPr>
        <w:t xml:space="preserve"> Nei casi di applicazione diretta dell’art. 139 C.d.A.: danni da lesioni di lieve entità derivanti dalla circolazione dei veicoli a motori e natanti e derivanti dall’esercizi</w:t>
      </w:r>
      <w:r>
        <w:rPr>
          <w:rFonts w:eastAsia="Roboto"/>
          <w:bCs/>
          <w:color w:val="000000" w:themeColor="text1" w:themeShade="BF"/>
        </w:rPr>
        <w:t>o della professione</w:t>
      </w:r>
      <w:r>
        <w:rPr>
          <w:rFonts w:eastAsia="Roboto"/>
          <w:bCs/>
          <w:color w:val="000000" w:themeColor="text1" w:themeShade="BF"/>
        </w:rPr>
        <w:br/>
        <w:t>sanitaria;</w:t>
      </w:r>
    </w:p>
    <w:p w:rsidR="00F62FAB" w:rsidRDefault="00F62FAB" w:rsidP="00FD3BAC">
      <w:pPr>
        <w:pStyle w:val="NormaleWeb"/>
        <w:spacing w:before="0" w:beforeAutospacing="0" w:after="0" w:afterAutospacing="0"/>
        <w:jc w:val="both"/>
        <w:rPr>
          <w:rFonts w:eastAsia="Roboto"/>
          <w:bCs/>
          <w:color w:val="000000" w:themeColor="text1" w:themeShade="BF"/>
        </w:rPr>
      </w:pPr>
      <w:r w:rsidRPr="008F5554">
        <w:rPr>
          <w:rFonts w:eastAsia="Roboto"/>
          <w:b/>
          <w:bCs/>
          <w:color w:val="000000" w:themeColor="text1" w:themeShade="BF"/>
        </w:rPr>
        <w:t>2)</w:t>
      </w:r>
      <w:r w:rsidRPr="00F62FAB">
        <w:rPr>
          <w:rFonts w:eastAsia="Roboto"/>
          <w:bCs/>
          <w:color w:val="000000" w:themeColor="text1" w:themeShade="BF"/>
        </w:rPr>
        <w:t xml:space="preserve"> Nella liquidazione dei danni da lesioni di liev</w:t>
      </w:r>
      <w:r>
        <w:rPr>
          <w:rFonts w:eastAsia="Roboto"/>
          <w:bCs/>
          <w:color w:val="000000" w:themeColor="text1" w:themeShade="BF"/>
        </w:rPr>
        <w:t>e entità nelle altre ipotesi;</w:t>
      </w:r>
    </w:p>
    <w:p w:rsidR="00F62FAB" w:rsidRDefault="00F62FAB" w:rsidP="00FD3BAC">
      <w:pPr>
        <w:pStyle w:val="NormaleWeb"/>
        <w:spacing w:before="0" w:beforeAutospacing="0" w:after="0" w:afterAutospacing="0"/>
        <w:jc w:val="both"/>
        <w:rPr>
          <w:rFonts w:eastAsia="Roboto"/>
          <w:bCs/>
          <w:color w:val="000000" w:themeColor="text1" w:themeShade="BF"/>
        </w:rPr>
      </w:pPr>
      <w:r w:rsidRPr="008F5554">
        <w:rPr>
          <w:rFonts w:eastAsia="Roboto"/>
          <w:b/>
          <w:bCs/>
          <w:color w:val="000000" w:themeColor="text1" w:themeShade="BF"/>
        </w:rPr>
        <w:t>3)</w:t>
      </w:r>
      <w:r w:rsidRPr="00F62FAB">
        <w:rPr>
          <w:rFonts w:eastAsia="Roboto"/>
          <w:bCs/>
          <w:color w:val="000000" w:themeColor="text1" w:themeShade="BF"/>
        </w:rPr>
        <w:t>Sui criteri di liquidazione del danno biologico temporaneo</w:t>
      </w:r>
    </w:p>
    <w:p w:rsidR="00F62FAB" w:rsidRDefault="00F62FAB" w:rsidP="00FD3BAC">
      <w:pPr>
        <w:pStyle w:val="NormaleWeb"/>
        <w:spacing w:before="0" w:beforeAutospacing="0" w:after="0" w:afterAutospacing="0"/>
        <w:jc w:val="both"/>
        <w:rPr>
          <w:rFonts w:eastAsia="Roboto"/>
          <w:bCs/>
          <w:color w:val="000000" w:themeColor="text1" w:themeShade="BF"/>
        </w:rPr>
      </w:pPr>
      <w:r w:rsidRPr="008F5554">
        <w:rPr>
          <w:rFonts w:eastAsia="Roboto"/>
          <w:b/>
          <w:bCs/>
          <w:color w:val="000000" w:themeColor="text1" w:themeShade="BF"/>
        </w:rPr>
        <w:t>4)</w:t>
      </w:r>
      <w:r w:rsidRPr="00F62FAB">
        <w:rPr>
          <w:rFonts w:eastAsia="Roboto"/>
          <w:bCs/>
          <w:color w:val="000000" w:themeColor="text1" w:themeShade="BF"/>
        </w:rPr>
        <w:t xml:space="preserve"> Sul quesito medico legale utilizzato allorch</w:t>
      </w:r>
      <w:r w:rsidR="00987517">
        <w:rPr>
          <w:rFonts w:eastAsia="Roboto"/>
          <w:bCs/>
          <w:color w:val="000000" w:themeColor="text1" w:themeShade="BF"/>
        </w:rPr>
        <w:t>é</w:t>
      </w:r>
      <w:r w:rsidRPr="00F62FAB">
        <w:rPr>
          <w:rFonts w:eastAsia="Roboto"/>
          <w:bCs/>
          <w:color w:val="000000" w:themeColor="text1" w:themeShade="BF"/>
        </w:rPr>
        <w:t xml:space="preserve"> viene applicata la tabella milanese</w:t>
      </w:r>
      <w:r w:rsidR="008F5554">
        <w:rPr>
          <w:rFonts w:eastAsia="Roboto"/>
          <w:bCs/>
          <w:color w:val="000000" w:themeColor="text1" w:themeShade="BF"/>
        </w:rPr>
        <w:t>.</w:t>
      </w:r>
    </w:p>
    <w:p w:rsidR="008F5554" w:rsidRDefault="008F5554" w:rsidP="00FD3BAC">
      <w:pPr>
        <w:pStyle w:val="NormaleWeb"/>
        <w:spacing w:before="0" w:beforeAutospacing="0" w:after="0" w:afterAutospacing="0"/>
        <w:jc w:val="both"/>
        <w:rPr>
          <w:rFonts w:eastAsia="Roboto"/>
          <w:bCs/>
          <w:color w:val="000000" w:themeColor="text1" w:themeShade="BF"/>
        </w:rPr>
      </w:pPr>
    </w:p>
    <w:p w:rsidR="008F5554" w:rsidRDefault="008F5554" w:rsidP="00FD3BAC">
      <w:pPr>
        <w:pStyle w:val="NormaleWeb"/>
        <w:spacing w:before="0" w:beforeAutospacing="0" w:after="0" w:afterAutospacing="0"/>
        <w:jc w:val="both"/>
        <w:rPr>
          <w:color w:val="221E1F"/>
        </w:rPr>
      </w:pPr>
      <w:r>
        <w:rPr>
          <w:rFonts w:eastAsia="Roboto"/>
          <w:bCs/>
          <w:color w:val="000000" w:themeColor="text1" w:themeShade="BF"/>
        </w:rPr>
        <w:t xml:space="preserve">La scheda può essere agevolmente scaricata collegandosi al sito dell’Osservatorio milanese </w:t>
      </w:r>
      <w:r w:rsidRPr="008F5554">
        <w:rPr>
          <w:rFonts w:eastAsia="Roboto"/>
          <w:bCs/>
          <w:color w:val="000000" w:themeColor="text1" w:themeShade="BF"/>
          <w:sz w:val="28"/>
          <w:szCs w:val="28"/>
        </w:rPr>
        <w:t>(</w:t>
      </w:r>
      <w:hyperlink r:id="rId8" w:history="1">
        <w:r w:rsidRPr="008F5554">
          <w:rPr>
            <w:rStyle w:val="Collegamentoipertestuale"/>
          </w:rPr>
          <w:t>www.milanosservatorio.it</w:t>
        </w:r>
      </w:hyperlink>
      <w:r w:rsidRPr="008F5554">
        <w:rPr>
          <w:color w:val="221E1F"/>
        </w:rPr>
        <w:t>)</w:t>
      </w:r>
      <w:r>
        <w:rPr>
          <w:color w:val="221E1F"/>
        </w:rPr>
        <w:t xml:space="preserve"> ove è stata apposta e al quale si rimanda.</w:t>
      </w:r>
    </w:p>
    <w:p w:rsidR="004D726C" w:rsidRDefault="004D726C" w:rsidP="00FD3BAC">
      <w:pPr>
        <w:pStyle w:val="NormaleWeb"/>
        <w:spacing w:before="0" w:beforeAutospacing="0" w:after="0" w:afterAutospacing="0"/>
        <w:jc w:val="both"/>
        <w:rPr>
          <w:color w:val="221E1F"/>
        </w:rPr>
      </w:pPr>
    </w:p>
    <w:p w:rsidR="008F5554" w:rsidRDefault="008F5554" w:rsidP="00FD3BAC">
      <w:pPr>
        <w:pStyle w:val="NormaleWeb"/>
        <w:spacing w:before="0" w:beforeAutospacing="0" w:after="0" w:afterAutospacing="0"/>
        <w:jc w:val="both"/>
        <w:rPr>
          <w:color w:val="221E1F"/>
        </w:rPr>
      </w:pPr>
    </w:p>
    <w:p w:rsidR="008F5554" w:rsidRDefault="0090218A" w:rsidP="00FD3BAC">
      <w:pPr>
        <w:pStyle w:val="NormaleWeb"/>
        <w:spacing w:before="0" w:beforeAutospacing="0" w:after="0" w:afterAutospacing="0"/>
        <w:jc w:val="both"/>
        <w:rPr>
          <w:b/>
          <w:color w:val="221E1F"/>
          <w:u w:val="single"/>
        </w:rPr>
      </w:pPr>
      <w:r>
        <w:rPr>
          <w:b/>
          <w:color w:val="221E1F"/>
          <w:u w:val="single"/>
        </w:rPr>
        <w:t xml:space="preserve">3. </w:t>
      </w:r>
      <w:r w:rsidR="008F5554" w:rsidRPr="008F5554">
        <w:rPr>
          <w:b/>
          <w:color w:val="221E1F"/>
          <w:u w:val="single"/>
        </w:rPr>
        <w:t>Il metodo di lavoro</w:t>
      </w:r>
      <w:r w:rsidR="008F5554">
        <w:rPr>
          <w:b/>
          <w:color w:val="221E1F"/>
          <w:u w:val="single"/>
        </w:rPr>
        <w:t>.</w:t>
      </w:r>
    </w:p>
    <w:p w:rsidR="008F5554" w:rsidRDefault="008F5554" w:rsidP="00FD3BAC">
      <w:pPr>
        <w:pStyle w:val="NormaleWeb"/>
        <w:spacing w:before="0" w:beforeAutospacing="0" w:after="0" w:afterAutospacing="0"/>
        <w:jc w:val="both"/>
        <w:rPr>
          <w:b/>
          <w:color w:val="221E1F"/>
          <w:u w:val="single"/>
        </w:rPr>
      </w:pPr>
      <w:r w:rsidRPr="00B13026">
        <w:rPr>
          <w:color w:val="221E1F"/>
        </w:rPr>
        <w:t xml:space="preserve">Il metodo osservato per raggiungere l’obiettivo prefissato,  fu originariamente quello di veicolare la scheda di rilevamento in formato elettronico ai Presidenti delle sezioni della Corte d’Appello e del Tribunale di Milano e ai Coordinatori dei Giudici di Pace del distretto </w:t>
      </w:r>
      <w:r w:rsidR="00B13026" w:rsidRPr="00B13026">
        <w:rPr>
          <w:color w:val="221E1F"/>
        </w:rPr>
        <w:t xml:space="preserve">per promuovere riunioni di Sezione al fine di rilevare gli orientamenti maggiormente condivisi nelle singole </w:t>
      </w:r>
      <w:r w:rsidR="00987517">
        <w:rPr>
          <w:color w:val="221E1F"/>
        </w:rPr>
        <w:t>S</w:t>
      </w:r>
      <w:r w:rsidR="00B13026" w:rsidRPr="00B13026">
        <w:rPr>
          <w:color w:val="221E1F"/>
        </w:rPr>
        <w:t xml:space="preserve">ezioni e/o nei vari </w:t>
      </w:r>
      <w:r w:rsidR="00987517">
        <w:rPr>
          <w:color w:val="221E1F"/>
        </w:rPr>
        <w:t>U</w:t>
      </w:r>
      <w:r w:rsidR="00B13026" w:rsidRPr="00B13026">
        <w:rPr>
          <w:color w:val="221E1F"/>
        </w:rPr>
        <w:t>ffici giudiziari, restituendo la scheda compilata sulla base di tali riunioni alla Formazione decentrata del distretto</w:t>
      </w:r>
      <w:r w:rsidR="00B13026">
        <w:rPr>
          <w:b/>
          <w:color w:val="221E1F"/>
          <w:u w:val="single"/>
        </w:rPr>
        <w:t>.</w:t>
      </w:r>
    </w:p>
    <w:p w:rsidR="00B13026" w:rsidRDefault="00B13026" w:rsidP="00FD3BAC">
      <w:pPr>
        <w:pStyle w:val="NormaleWeb"/>
        <w:spacing w:before="0" w:beforeAutospacing="0" w:after="0" w:afterAutospacing="0"/>
        <w:jc w:val="both"/>
        <w:rPr>
          <w:color w:val="221E1F"/>
        </w:rPr>
      </w:pPr>
      <w:r w:rsidRPr="00947D92">
        <w:rPr>
          <w:color w:val="221E1F"/>
        </w:rPr>
        <w:t xml:space="preserve">Il </w:t>
      </w:r>
      <w:r w:rsidR="00987517">
        <w:rPr>
          <w:color w:val="221E1F"/>
        </w:rPr>
        <w:t>n</w:t>
      </w:r>
      <w:r w:rsidRPr="00947D92">
        <w:rPr>
          <w:color w:val="221E1F"/>
        </w:rPr>
        <w:t xml:space="preserve">eo costituito “Gruppo otto” ha deciso di riproporre la scheda utilizzando un più </w:t>
      </w:r>
      <w:r w:rsidR="00947D92" w:rsidRPr="00947D92">
        <w:rPr>
          <w:color w:val="221E1F"/>
        </w:rPr>
        <w:t>efficace</w:t>
      </w:r>
      <w:r w:rsidRPr="00947D92">
        <w:rPr>
          <w:color w:val="221E1F"/>
        </w:rPr>
        <w:t xml:space="preserve"> metodo “</w:t>
      </w:r>
      <w:r w:rsidRPr="00987517">
        <w:rPr>
          <w:i/>
          <w:color w:val="221E1F"/>
        </w:rPr>
        <w:t xml:space="preserve">door to </w:t>
      </w:r>
      <w:r w:rsidR="0090218A" w:rsidRPr="00987517">
        <w:rPr>
          <w:i/>
          <w:color w:val="221E1F"/>
        </w:rPr>
        <w:t>door</w:t>
      </w:r>
      <w:r w:rsidR="0090218A" w:rsidRPr="00947D92">
        <w:rPr>
          <w:color w:val="221E1F"/>
        </w:rPr>
        <w:t>” facendosi</w:t>
      </w:r>
      <w:r w:rsidR="00947D92" w:rsidRPr="00947D92">
        <w:rPr>
          <w:color w:val="221E1F"/>
        </w:rPr>
        <w:t xml:space="preserve"> carico cioè di contattare direttamente e personalmente ogni singolo magistrato al fine </w:t>
      </w:r>
      <w:r w:rsidR="0090218A" w:rsidRPr="00947D92">
        <w:rPr>
          <w:color w:val="221E1F"/>
        </w:rPr>
        <w:t>di ricevere</w:t>
      </w:r>
      <w:r w:rsidR="00947D92" w:rsidRPr="00947D92">
        <w:rPr>
          <w:color w:val="221E1F"/>
        </w:rPr>
        <w:t xml:space="preserve"> le risposte del questionario.</w:t>
      </w:r>
    </w:p>
    <w:p w:rsidR="00947D92" w:rsidRDefault="00947D92" w:rsidP="00FD3BAC">
      <w:pPr>
        <w:pStyle w:val="NormaleWeb"/>
        <w:spacing w:before="0" w:beforeAutospacing="0" w:after="0" w:afterAutospacing="0"/>
        <w:jc w:val="both"/>
        <w:rPr>
          <w:color w:val="221E1F"/>
        </w:rPr>
      </w:pPr>
    </w:p>
    <w:p w:rsidR="00947D92" w:rsidRDefault="00947D92" w:rsidP="00FD3BAC">
      <w:pPr>
        <w:pStyle w:val="NormaleWeb"/>
        <w:spacing w:before="0" w:beforeAutospacing="0" w:after="0" w:afterAutospacing="0"/>
        <w:jc w:val="both"/>
        <w:rPr>
          <w:color w:val="221E1F"/>
        </w:rPr>
      </w:pPr>
      <w:r>
        <w:rPr>
          <w:color w:val="221E1F"/>
        </w:rPr>
        <w:t>Tale sforzo ha prodotto i risultati qui di seguito visivamente riassunti:</w:t>
      </w:r>
    </w:p>
    <w:p w:rsidR="00947D92" w:rsidRPr="00947D92" w:rsidRDefault="00947D92" w:rsidP="00FD3BAC">
      <w:pPr>
        <w:pStyle w:val="NormaleWeb"/>
        <w:spacing w:before="0" w:beforeAutospacing="0" w:after="0" w:afterAutospacing="0"/>
        <w:jc w:val="both"/>
        <w:rPr>
          <w:color w:val="221E1F"/>
        </w:rPr>
      </w:pPr>
    </w:p>
    <w:p w:rsidR="00947D92" w:rsidRDefault="00947D92" w:rsidP="00FD3BAC">
      <w:pPr>
        <w:pStyle w:val="NormaleWeb"/>
        <w:spacing w:before="0" w:beforeAutospacing="0" w:after="0" w:afterAutospacing="0"/>
        <w:jc w:val="both"/>
        <w:rPr>
          <w:b/>
          <w:color w:val="221E1F"/>
          <w:u w:val="single"/>
        </w:rPr>
      </w:pPr>
      <w:r w:rsidRPr="00947D92">
        <w:rPr>
          <w:b/>
          <w:noProof/>
          <w:color w:val="221E1F"/>
          <w:u w:val="single"/>
        </w:rPr>
        <w:drawing>
          <wp:inline distT="0" distB="0" distL="0" distR="0" wp14:anchorId="7154C668" wp14:editId="7A541BA0">
            <wp:extent cx="4572638" cy="257210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026" w:rsidRPr="008F5554" w:rsidRDefault="00B13026" w:rsidP="00FD3BAC">
      <w:pPr>
        <w:pStyle w:val="NormaleWeb"/>
        <w:spacing w:before="0" w:beforeAutospacing="0" w:after="0" w:afterAutospacing="0"/>
        <w:jc w:val="both"/>
        <w:rPr>
          <w:b/>
          <w:color w:val="221E1F"/>
          <w:u w:val="single"/>
        </w:rPr>
      </w:pPr>
    </w:p>
    <w:p w:rsidR="00FD3BAC" w:rsidRDefault="00FD3BAC" w:rsidP="00FD3BAC">
      <w:pPr>
        <w:pStyle w:val="NormaleWeb"/>
        <w:spacing w:before="0" w:beforeAutospacing="0" w:after="0" w:afterAutospacing="0"/>
        <w:jc w:val="both"/>
        <w:rPr>
          <w:rFonts w:eastAsia="Arial"/>
          <w:color w:val="000000"/>
          <w:sz w:val="38"/>
          <w:szCs w:val="38"/>
        </w:rPr>
      </w:pPr>
    </w:p>
    <w:p w:rsidR="00C70B66" w:rsidRDefault="00C70B66" w:rsidP="00FD3BAC">
      <w:pPr>
        <w:pStyle w:val="NormaleWeb"/>
        <w:spacing w:before="0" w:beforeAutospacing="0" w:after="0" w:afterAutospacing="0"/>
        <w:jc w:val="both"/>
        <w:rPr>
          <w:rFonts w:eastAsia="Arial"/>
          <w:color w:val="000000"/>
          <w:sz w:val="38"/>
          <w:szCs w:val="38"/>
        </w:rPr>
      </w:pPr>
    </w:p>
    <w:p w:rsidR="00FD3BAC" w:rsidRDefault="0090218A" w:rsidP="00FD3BAC">
      <w:pPr>
        <w:pStyle w:val="NormaleWeb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4. </w:t>
      </w:r>
      <w:r w:rsidR="00947D92" w:rsidRPr="00947D92">
        <w:rPr>
          <w:b/>
          <w:u w:val="single"/>
        </w:rPr>
        <w:t>I risultati</w:t>
      </w:r>
      <w:r w:rsidR="00947D92">
        <w:rPr>
          <w:b/>
          <w:u w:val="single"/>
        </w:rPr>
        <w:t>.</w:t>
      </w:r>
    </w:p>
    <w:p w:rsidR="00947D92" w:rsidRDefault="00947D92" w:rsidP="00FD3BAC">
      <w:pPr>
        <w:pStyle w:val="NormaleWeb"/>
        <w:spacing w:before="0" w:beforeAutospacing="0" w:after="0" w:afterAutospacing="0"/>
        <w:jc w:val="both"/>
      </w:pPr>
      <w:r w:rsidRPr="00947D92">
        <w:t>I risultati della rilevazione sono in corso di elaborazione</w:t>
      </w:r>
      <w:r>
        <w:t xml:space="preserve"> e saranno comunicati in occasione dell’incontro previsto per marzo 2017.</w:t>
      </w:r>
    </w:p>
    <w:p w:rsidR="00C70B66" w:rsidRDefault="00C70B66" w:rsidP="00FD3BAC">
      <w:pPr>
        <w:pStyle w:val="NormaleWeb"/>
        <w:spacing w:before="0" w:beforeAutospacing="0" w:after="0" w:afterAutospacing="0"/>
        <w:jc w:val="both"/>
      </w:pPr>
    </w:p>
    <w:p w:rsidR="00947D92" w:rsidRDefault="00947D92" w:rsidP="00FD3BAC">
      <w:pPr>
        <w:pStyle w:val="NormaleWeb"/>
        <w:spacing w:before="0" w:beforeAutospacing="0" w:after="0" w:afterAutospacing="0"/>
        <w:jc w:val="both"/>
      </w:pPr>
      <w:bookmarkStart w:id="0" w:name="_GoBack"/>
      <w:bookmarkEnd w:id="0"/>
      <w:r>
        <w:t>Di seguito, si anticipa a titolo esemplificativo l’elaborazione di uno schema di risposta evincibile dalla elaborazione delle schede:</w:t>
      </w:r>
    </w:p>
    <w:p w:rsidR="00947D92" w:rsidRDefault="00947D92" w:rsidP="00FD3BAC">
      <w:pPr>
        <w:pStyle w:val="NormaleWeb"/>
        <w:spacing w:before="0" w:beforeAutospacing="0" w:after="0" w:afterAutospacing="0"/>
        <w:jc w:val="both"/>
      </w:pPr>
    </w:p>
    <w:p w:rsidR="00947D92" w:rsidRDefault="00947D92" w:rsidP="006C4764">
      <w:pPr>
        <w:pStyle w:val="NormaleWeb"/>
        <w:spacing w:before="0" w:beforeAutospacing="0" w:after="0" w:afterAutospacing="0"/>
        <w:jc w:val="center"/>
      </w:pPr>
      <w:r w:rsidRPr="00947D92">
        <w:rPr>
          <w:noProof/>
        </w:rPr>
        <w:drawing>
          <wp:inline distT="0" distB="0" distL="0" distR="0" wp14:anchorId="38890F8A" wp14:editId="3695630F">
            <wp:extent cx="4572638" cy="257210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D92" w:rsidRDefault="00947D92" w:rsidP="00FD3BAC">
      <w:pPr>
        <w:pStyle w:val="NormaleWeb"/>
        <w:spacing w:before="0" w:beforeAutospacing="0" w:after="0" w:afterAutospacing="0"/>
        <w:jc w:val="both"/>
      </w:pPr>
    </w:p>
    <w:p w:rsidR="0090218A" w:rsidRDefault="0090218A" w:rsidP="00FD3BAC">
      <w:pPr>
        <w:pStyle w:val="NormaleWeb"/>
        <w:spacing w:before="0" w:beforeAutospacing="0" w:after="0" w:afterAutospacing="0"/>
        <w:jc w:val="both"/>
        <w:rPr>
          <w:b/>
          <w:u w:val="single"/>
        </w:rPr>
      </w:pPr>
    </w:p>
    <w:p w:rsidR="006C4764" w:rsidRDefault="006C4764" w:rsidP="00FD3BAC">
      <w:pPr>
        <w:pStyle w:val="NormaleWeb"/>
        <w:spacing w:before="0" w:beforeAutospacing="0" w:after="0" w:afterAutospacing="0"/>
        <w:jc w:val="both"/>
        <w:rPr>
          <w:b/>
          <w:u w:val="single"/>
        </w:rPr>
      </w:pPr>
      <w:r w:rsidRPr="006C4764">
        <w:rPr>
          <w:b/>
          <w:u w:val="single"/>
        </w:rPr>
        <w:t>Il seguito</w:t>
      </w:r>
      <w:r>
        <w:rPr>
          <w:b/>
          <w:u w:val="single"/>
        </w:rPr>
        <w:t>.</w:t>
      </w:r>
    </w:p>
    <w:p w:rsidR="006C4764" w:rsidRPr="00505E94" w:rsidRDefault="006C4764" w:rsidP="00FD3BAC">
      <w:pPr>
        <w:pStyle w:val="NormaleWeb"/>
        <w:spacing w:before="0" w:beforeAutospacing="0" w:after="0" w:afterAutospacing="0"/>
        <w:jc w:val="both"/>
      </w:pPr>
      <w:r w:rsidRPr="00505E94">
        <w:t xml:space="preserve">L’attività </w:t>
      </w:r>
      <w:r w:rsidR="0090218A" w:rsidRPr="00505E94">
        <w:t>del “</w:t>
      </w:r>
      <w:r w:rsidRPr="00505E94">
        <w:t xml:space="preserve">Gruppo 8” non si </w:t>
      </w:r>
      <w:r w:rsidR="0090218A" w:rsidRPr="00505E94">
        <w:t>esaurirà ovviamente</w:t>
      </w:r>
      <w:r w:rsidRPr="00505E94">
        <w:t xml:space="preserve"> con la sola elaborazione dei dati attinti dalle risposte rese dai </w:t>
      </w:r>
      <w:r w:rsidR="00987517">
        <w:t>m</w:t>
      </w:r>
      <w:r w:rsidRPr="00505E94">
        <w:t>agistrati alle domande della scheda di rilevamento.</w:t>
      </w:r>
    </w:p>
    <w:p w:rsidR="006C4764" w:rsidRDefault="006C4764" w:rsidP="00FD3BAC">
      <w:pPr>
        <w:pStyle w:val="NormaleWeb"/>
        <w:spacing w:before="0" w:beforeAutospacing="0" w:after="0" w:afterAutospacing="0"/>
        <w:jc w:val="both"/>
        <w:rPr>
          <w:u w:val="single"/>
        </w:rPr>
      </w:pPr>
      <w:r w:rsidRPr="00505E94">
        <w:t xml:space="preserve">Tali dati infatti, si intende possano costituire il mero presupposto per gli ulteriori consequenziali approfondimenti che saranno ritenuti </w:t>
      </w:r>
      <w:r w:rsidR="0090218A" w:rsidRPr="00505E94">
        <w:t>necessari in</w:t>
      </w:r>
      <w:r w:rsidRPr="00505E94">
        <w:t xml:space="preserve"> un contesto che è costantemente in evoluzione e di perenne attualità come attestano anche le innumerevoli pronunce rese in tema dalla Corte di Cassazione (cfr. </w:t>
      </w:r>
      <w:proofErr w:type="spellStart"/>
      <w:r w:rsidR="00505E94" w:rsidRPr="00505E94">
        <w:t>Cass</w:t>
      </w:r>
      <w:proofErr w:type="spellEnd"/>
      <w:r w:rsidR="00505E94" w:rsidRPr="00505E94">
        <w:t xml:space="preserve">. </w:t>
      </w:r>
      <w:proofErr w:type="spellStart"/>
      <w:r w:rsidR="00505E94" w:rsidRPr="00505E94">
        <w:t>Civ</w:t>
      </w:r>
      <w:proofErr w:type="spellEnd"/>
      <w:r w:rsidR="00505E94" w:rsidRPr="00505E94">
        <w:t xml:space="preserve">. n. 9320 dell’8 .5.2015; </w:t>
      </w:r>
      <w:proofErr w:type="spellStart"/>
      <w:r w:rsidR="00505E94" w:rsidRPr="00505E94">
        <w:t>Cass</w:t>
      </w:r>
      <w:proofErr w:type="spellEnd"/>
      <w:r w:rsidR="00505E94" w:rsidRPr="00505E94">
        <w:t xml:space="preserve">. </w:t>
      </w:r>
      <w:proofErr w:type="spellStart"/>
      <w:r w:rsidR="00505E94" w:rsidRPr="00505E94">
        <w:t>Civ</w:t>
      </w:r>
      <w:proofErr w:type="spellEnd"/>
      <w:r w:rsidR="00505E94" w:rsidRPr="00505E94">
        <w:t>. n. 12594 del</w:t>
      </w:r>
      <w:r w:rsidR="00505E94">
        <w:t xml:space="preserve"> 18.6.15</w:t>
      </w:r>
      <w:r w:rsidR="0090218A">
        <w:t xml:space="preserve">; </w:t>
      </w:r>
      <w:proofErr w:type="spellStart"/>
      <w:r w:rsidR="0090218A" w:rsidRPr="00505E94">
        <w:t>Cass</w:t>
      </w:r>
      <w:proofErr w:type="spellEnd"/>
      <w:r w:rsidRPr="00505E94">
        <w:t xml:space="preserve">. civ </w:t>
      </w:r>
      <w:r w:rsidR="00505E94" w:rsidRPr="00505E94">
        <w:t>n. 23793 del</w:t>
      </w:r>
      <w:r w:rsidRPr="00505E94">
        <w:t xml:space="preserve"> 20.11.</w:t>
      </w:r>
      <w:r w:rsidR="00505E94" w:rsidRPr="00505E94">
        <w:t>201</w:t>
      </w:r>
      <w:r w:rsidRPr="00505E94">
        <w:t xml:space="preserve">5; </w:t>
      </w:r>
      <w:proofErr w:type="spellStart"/>
      <w:r w:rsidRPr="00505E94">
        <w:t>Cass</w:t>
      </w:r>
      <w:proofErr w:type="spellEnd"/>
      <w:r w:rsidRPr="00505E94">
        <w:t xml:space="preserve">. civ. 17209 del 27.8.2015; </w:t>
      </w:r>
      <w:proofErr w:type="spellStart"/>
      <w:r w:rsidR="00505E94">
        <w:t>Cass</w:t>
      </w:r>
      <w:proofErr w:type="spellEnd"/>
      <w:r w:rsidR="00505E94">
        <w:t xml:space="preserve">. civ. n. 18611 del 22.9.15  </w:t>
      </w:r>
      <w:proofErr w:type="spellStart"/>
      <w:r w:rsidRPr="00505E94">
        <w:t>Cass</w:t>
      </w:r>
      <w:proofErr w:type="spellEnd"/>
      <w:r w:rsidRPr="00505E94">
        <w:t>. civ. 339 del 13.1.2016</w:t>
      </w:r>
      <w:r w:rsidRPr="00505E94">
        <w:rPr>
          <w:u w:val="single"/>
        </w:rPr>
        <w:t>)</w:t>
      </w:r>
    </w:p>
    <w:p w:rsidR="00505E94" w:rsidRDefault="00505E94" w:rsidP="00FD3BAC">
      <w:pPr>
        <w:pStyle w:val="NormaleWeb"/>
        <w:spacing w:before="0" w:beforeAutospacing="0" w:after="0" w:afterAutospacing="0"/>
        <w:jc w:val="both"/>
      </w:pPr>
      <w:r w:rsidRPr="00505E94">
        <w:t xml:space="preserve">L’auspicio è che </w:t>
      </w:r>
      <w:r>
        <w:t>non resti isolato lo sforzo attuato dall’Osservatorio milanese e finalizzato a:</w:t>
      </w:r>
    </w:p>
    <w:p w:rsidR="00505E94" w:rsidRDefault="00505E94" w:rsidP="00FD3BAC">
      <w:pPr>
        <w:pStyle w:val="NormaleWeb"/>
        <w:spacing w:before="0" w:beforeAutospacing="0" w:after="0" w:afterAutospacing="0"/>
        <w:jc w:val="both"/>
      </w:pPr>
      <w:r>
        <w:t xml:space="preserve">&gt; monitorare la giurisprudenza degli </w:t>
      </w:r>
      <w:r w:rsidR="00987517">
        <w:t>U</w:t>
      </w:r>
      <w:r>
        <w:t>ffici giudiziari in tema di accertamento e liquidazione del danno patrimoniale e non patrimoniale alla persona;</w:t>
      </w:r>
    </w:p>
    <w:p w:rsidR="00505E94" w:rsidRDefault="00505E94" w:rsidP="00FD3BAC">
      <w:pPr>
        <w:pStyle w:val="NormaleWeb"/>
        <w:spacing w:before="0" w:beforeAutospacing="0" w:after="0" w:afterAutospacing="0"/>
        <w:jc w:val="both"/>
      </w:pPr>
      <w:r>
        <w:t>&gt; sollecitare il dibattito sulle principali questioni processuali e sostanziali che riguardano tale materia;</w:t>
      </w:r>
    </w:p>
    <w:p w:rsidR="00505E94" w:rsidRDefault="00505E94" w:rsidP="00FD3BAC">
      <w:pPr>
        <w:pStyle w:val="NormaleWeb"/>
        <w:spacing w:before="0" w:beforeAutospacing="0" w:after="0" w:afterAutospacing="0"/>
        <w:jc w:val="both"/>
      </w:pPr>
      <w:r>
        <w:t>&gt;</w:t>
      </w:r>
      <w:r w:rsidR="004D726C">
        <w:t xml:space="preserve"> </w:t>
      </w:r>
      <w:r>
        <w:t>enucleare le prassi più efficaci relativamente agli oneri di allegazione e prova del danno nel processo, alla formulazione del quesito nella CTU medico legale ed (in generale) ai rapporti giudici-avvocati-CTU -CTP;</w:t>
      </w:r>
    </w:p>
    <w:p w:rsidR="00505E94" w:rsidRDefault="0090218A" w:rsidP="00FD3BAC">
      <w:pPr>
        <w:pStyle w:val="NormaleWeb"/>
        <w:spacing w:before="0" w:beforeAutospacing="0" w:after="0" w:afterAutospacing="0"/>
        <w:jc w:val="both"/>
      </w:pPr>
      <w:r>
        <w:t>&gt;</w:t>
      </w:r>
      <w:r w:rsidR="00505E94">
        <w:t xml:space="preserve">monitorare le modalità di applicazione della tabella milanese in tema di </w:t>
      </w:r>
      <w:r>
        <w:t>liquidazione</w:t>
      </w:r>
      <w:r w:rsidR="00505E94">
        <w:t xml:space="preserve"> del danno da lesione al bene s</w:t>
      </w:r>
      <w:r>
        <w:t>alute;</w:t>
      </w:r>
    </w:p>
    <w:p w:rsidR="0090218A" w:rsidRDefault="0090218A" w:rsidP="00FD3BAC">
      <w:pPr>
        <w:pStyle w:val="NormaleWeb"/>
        <w:spacing w:before="0" w:beforeAutospacing="0" w:after="0" w:afterAutospacing="0"/>
        <w:jc w:val="both"/>
      </w:pPr>
      <w:r>
        <w:t>&gt; valutare le criticità riscontrate e prospettare ulteriori soluzioni, anche in relazione al possibile allestimento di altre tabelle aventi ad oggetto la lesioni di altri diritti;</w:t>
      </w:r>
    </w:p>
    <w:p w:rsidR="0090218A" w:rsidRDefault="0090218A" w:rsidP="00FD3BAC">
      <w:pPr>
        <w:pStyle w:val="NormaleWeb"/>
        <w:spacing w:before="0" w:beforeAutospacing="0" w:after="0" w:afterAutospacing="0"/>
        <w:jc w:val="both"/>
      </w:pPr>
      <w:r>
        <w:t xml:space="preserve">&gt; </w:t>
      </w:r>
      <w:r w:rsidR="004D726C">
        <w:t xml:space="preserve"> </w:t>
      </w:r>
      <w:r>
        <w:t>suscitare il dibattito e organizzare gruppi di lavoro ed incontri di studio su delle materie.</w:t>
      </w:r>
    </w:p>
    <w:p w:rsidR="0090218A" w:rsidRDefault="0090218A" w:rsidP="00FD3BAC">
      <w:pPr>
        <w:pStyle w:val="NormaleWeb"/>
        <w:spacing w:before="0" w:beforeAutospacing="0" w:after="0" w:afterAutospacing="0"/>
        <w:jc w:val="both"/>
      </w:pPr>
    </w:p>
    <w:p w:rsidR="00505E94" w:rsidRPr="006C4764" w:rsidRDefault="00505E94" w:rsidP="00FD3BAC">
      <w:pPr>
        <w:pStyle w:val="NormaleWeb"/>
        <w:spacing w:before="0" w:beforeAutospacing="0" w:after="0" w:afterAutospacing="0"/>
        <w:jc w:val="both"/>
        <w:rPr>
          <w:b/>
          <w:u w:val="single"/>
        </w:rPr>
      </w:pPr>
    </w:p>
    <w:sectPr w:rsidR="00505E94" w:rsidRPr="006C4764" w:rsidSect="00FD3BAC">
      <w:footerReference w:type="default" r:id="rId11"/>
      <w:pgSz w:w="11906" w:h="16838"/>
      <w:pgMar w:top="44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573" w:rsidRDefault="00834573" w:rsidP="00FD3BAC">
      <w:pPr>
        <w:spacing w:after="0" w:line="240" w:lineRule="auto"/>
      </w:pPr>
      <w:r>
        <w:separator/>
      </w:r>
    </w:p>
  </w:endnote>
  <w:endnote w:type="continuationSeparator" w:id="0">
    <w:p w:rsidR="00834573" w:rsidRDefault="00834573" w:rsidP="00FD3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738680"/>
      <w:docPartObj>
        <w:docPartGallery w:val="Page Numbers (Bottom of Page)"/>
        <w:docPartUnique/>
      </w:docPartObj>
    </w:sdtPr>
    <w:sdtEndPr/>
    <w:sdtContent>
      <w:p w:rsidR="0090218A" w:rsidRDefault="0090218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66">
          <w:rPr>
            <w:noProof/>
          </w:rPr>
          <w:t>1</w:t>
        </w:r>
        <w:r>
          <w:fldChar w:fldCharType="end"/>
        </w:r>
      </w:p>
    </w:sdtContent>
  </w:sdt>
  <w:p w:rsidR="0090218A" w:rsidRDefault="0090218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573" w:rsidRDefault="00834573" w:rsidP="00FD3BAC">
      <w:pPr>
        <w:spacing w:after="0" w:line="240" w:lineRule="auto"/>
      </w:pPr>
      <w:r>
        <w:separator/>
      </w:r>
    </w:p>
  </w:footnote>
  <w:footnote w:type="continuationSeparator" w:id="0">
    <w:p w:rsidR="00834573" w:rsidRDefault="00834573" w:rsidP="00FD3B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AC"/>
    <w:rsid w:val="0011012D"/>
    <w:rsid w:val="00123186"/>
    <w:rsid w:val="00160FE2"/>
    <w:rsid w:val="00306239"/>
    <w:rsid w:val="003F2BE6"/>
    <w:rsid w:val="004D726C"/>
    <w:rsid w:val="00505E94"/>
    <w:rsid w:val="006C4764"/>
    <w:rsid w:val="00834573"/>
    <w:rsid w:val="008F5554"/>
    <w:rsid w:val="0090218A"/>
    <w:rsid w:val="00947D92"/>
    <w:rsid w:val="00987517"/>
    <w:rsid w:val="00B13026"/>
    <w:rsid w:val="00C70B66"/>
    <w:rsid w:val="00F62FAB"/>
    <w:rsid w:val="00FD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D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D3B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3BAC"/>
  </w:style>
  <w:style w:type="paragraph" w:styleId="Pidipagina">
    <w:name w:val="footer"/>
    <w:basedOn w:val="Normale"/>
    <w:link w:val="PidipaginaCarattere"/>
    <w:uiPriority w:val="99"/>
    <w:unhideWhenUsed/>
    <w:rsid w:val="00FD3B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3BAC"/>
  </w:style>
  <w:style w:type="character" w:styleId="Collegamentoipertestuale">
    <w:name w:val="Hyperlink"/>
    <w:basedOn w:val="Carpredefinitoparagrafo"/>
    <w:uiPriority w:val="99"/>
    <w:semiHidden/>
    <w:unhideWhenUsed/>
    <w:rsid w:val="008F5554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7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7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D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D3B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3BAC"/>
  </w:style>
  <w:style w:type="paragraph" w:styleId="Pidipagina">
    <w:name w:val="footer"/>
    <w:basedOn w:val="Normale"/>
    <w:link w:val="PidipaginaCarattere"/>
    <w:uiPriority w:val="99"/>
    <w:unhideWhenUsed/>
    <w:rsid w:val="00FD3B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3BAC"/>
  </w:style>
  <w:style w:type="character" w:styleId="Collegamentoipertestuale">
    <w:name w:val="Hyperlink"/>
    <w:basedOn w:val="Carpredefinitoparagrafo"/>
    <w:uiPriority w:val="99"/>
    <w:semiHidden/>
    <w:unhideWhenUsed/>
    <w:rsid w:val="008F5554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7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7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anosservatorio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moiraghi</dc:creator>
  <cp:lastModifiedBy>Riva Crugnola Elena</cp:lastModifiedBy>
  <cp:revision>2</cp:revision>
  <cp:lastPrinted>2016-05-23T10:10:00Z</cp:lastPrinted>
  <dcterms:created xsi:type="dcterms:W3CDTF">2016-05-23T10:31:00Z</dcterms:created>
  <dcterms:modified xsi:type="dcterms:W3CDTF">2016-05-23T10:31:00Z</dcterms:modified>
</cp:coreProperties>
</file>