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E2" w:rsidRPr="00046F73" w:rsidRDefault="003764E2" w:rsidP="00BE4109">
      <w:pPr>
        <w:spacing w:after="0" w:line="240" w:lineRule="auto"/>
        <w:jc w:val="center"/>
        <w:rPr>
          <w:rFonts w:ascii="Times New Roman" w:hAnsi="Times New Roman" w:cs="Times New Roman"/>
          <w:b/>
          <w:sz w:val="32"/>
          <w:szCs w:val="32"/>
        </w:rPr>
      </w:pPr>
      <w:bookmarkStart w:id="0" w:name="_GoBack"/>
      <w:bookmarkEnd w:id="0"/>
      <w:r w:rsidRPr="00046F73">
        <w:rPr>
          <w:rFonts w:ascii="Times New Roman" w:hAnsi="Times New Roman" w:cs="Times New Roman"/>
          <w:b/>
          <w:sz w:val="32"/>
          <w:szCs w:val="32"/>
        </w:rPr>
        <w:t>OSSERVATORIO SULLA GIUSTIZIA CIVILE DI ROMA</w:t>
      </w:r>
    </w:p>
    <w:p w:rsidR="00A603B4" w:rsidRPr="00A603B4" w:rsidRDefault="00A603B4" w:rsidP="00BE4109">
      <w:pPr>
        <w:spacing w:after="0" w:line="240" w:lineRule="auto"/>
        <w:jc w:val="center"/>
        <w:rPr>
          <w:rFonts w:ascii="Times New Roman" w:hAnsi="Times New Roman" w:cs="Times New Roman"/>
          <w:b/>
          <w:sz w:val="32"/>
          <w:szCs w:val="32"/>
        </w:rPr>
      </w:pPr>
      <w:r w:rsidRPr="00A603B4">
        <w:rPr>
          <w:rFonts w:ascii="Times New Roman" w:hAnsi="Times New Roman" w:cs="Times New Roman"/>
          <w:b/>
          <w:sz w:val="32"/>
          <w:szCs w:val="32"/>
        </w:rPr>
        <w:t>XI ASSEMBLEA NAZIONALE DEGLI OSSERVATORI</w:t>
      </w:r>
    </w:p>
    <w:p w:rsidR="00A603B4" w:rsidRDefault="00A603B4" w:rsidP="00BE41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DIRITTI, </w:t>
      </w:r>
      <w:r w:rsidR="00B80DD3" w:rsidRPr="00B80DD3">
        <w:rPr>
          <w:rFonts w:ascii="Times New Roman" w:hAnsi="Times New Roman" w:cs="Times New Roman"/>
          <w:b/>
          <w:sz w:val="32"/>
          <w:szCs w:val="32"/>
        </w:rPr>
        <w:t>INTERESSI</w:t>
      </w:r>
      <w:r w:rsidRPr="00B80DD3">
        <w:rPr>
          <w:rFonts w:ascii="Times New Roman" w:hAnsi="Times New Roman" w:cs="Times New Roman"/>
          <w:b/>
          <w:sz w:val="32"/>
          <w:szCs w:val="32"/>
        </w:rPr>
        <w:t xml:space="preserve"> </w:t>
      </w:r>
      <w:r>
        <w:rPr>
          <w:rFonts w:ascii="Times New Roman" w:hAnsi="Times New Roman" w:cs="Times New Roman"/>
          <w:b/>
          <w:sz w:val="32"/>
          <w:szCs w:val="32"/>
        </w:rPr>
        <w:t xml:space="preserve">ED EFFETTIVITA’ DI TUTELA </w:t>
      </w:r>
    </w:p>
    <w:p w:rsidR="007C444D" w:rsidRDefault="007C444D" w:rsidP="00A603B4">
      <w:pPr>
        <w:jc w:val="center"/>
        <w:rPr>
          <w:rFonts w:ascii="Times New Roman" w:hAnsi="Times New Roman" w:cs="Times New Roman"/>
          <w:b/>
          <w:sz w:val="32"/>
          <w:szCs w:val="32"/>
        </w:rPr>
      </w:pPr>
      <w:r>
        <w:rPr>
          <w:rFonts w:ascii="Times New Roman" w:hAnsi="Times New Roman" w:cs="Times New Roman"/>
          <w:b/>
          <w:sz w:val="32"/>
          <w:szCs w:val="32"/>
        </w:rPr>
        <w:t>Milano, 27-29 maggio 2016</w:t>
      </w:r>
    </w:p>
    <w:p w:rsidR="00A603B4" w:rsidRPr="00F85BAD" w:rsidRDefault="00046F73" w:rsidP="00A603B4">
      <w:pPr>
        <w:jc w:val="center"/>
        <w:rPr>
          <w:rFonts w:ascii="Times New Roman" w:hAnsi="Times New Roman" w:cs="Times New Roman"/>
          <w:b/>
          <w:sz w:val="32"/>
          <w:szCs w:val="32"/>
          <w:u w:val="single"/>
        </w:rPr>
      </w:pPr>
      <w:r w:rsidRPr="00F85BAD">
        <w:rPr>
          <w:rFonts w:ascii="Times New Roman" w:hAnsi="Times New Roman" w:cs="Times New Roman"/>
          <w:b/>
          <w:sz w:val="32"/>
          <w:szCs w:val="32"/>
          <w:u w:val="single"/>
        </w:rPr>
        <w:t xml:space="preserve">GRUPPO DANNO ALLA PERSONA </w:t>
      </w:r>
      <w:r w:rsidR="003D4A4F">
        <w:rPr>
          <w:rFonts w:ascii="Times New Roman" w:hAnsi="Times New Roman" w:cs="Times New Roman"/>
          <w:b/>
          <w:sz w:val="32"/>
          <w:szCs w:val="32"/>
          <w:u w:val="single"/>
        </w:rPr>
        <w:t>F</w:t>
      </w:r>
    </w:p>
    <w:p w:rsidR="00046F73" w:rsidRPr="00A54246" w:rsidRDefault="00A54246" w:rsidP="00A603B4">
      <w:pPr>
        <w:jc w:val="center"/>
        <w:rPr>
          <w:rFonts w:ascii="Times New Roman" w:hAnsi="Times New Roman" w:cs="Times New Roman"/>
          <w:b/>
          <w:sz w:val="28"/>
          <w:szCs w:val="28"/>
        </w:rPr>
      </w:pPr>
      <w:r w:rsidRPr="00A54246">
        <w:rPr>
          <w:rFonts w:ascii="Times New Roman" w:hAnsi="Times New Roman" w:cs="Times New Roman"/>
          <w:b/>
          <w:sz w:val="28"/>
          <w:szCs w:val="28"/>
        </w:rPr>
        <w:t xml:space="preserve">Pres.te Antonella Di Florio </w:t>
      </w:r>
      <w:r w:rsidR="00046F73" w:rsidRPr="00A54246">
        <w:rPr>
          <w:rFonts w:ascii="Times New Roman" w:hAnsi="Times New Roman" w:cs="Times New Roman"/>
          <w:b/>
          <w:sz w:val="28"/>
          <w:szCs w:val="28"/>
        </w:rPr>
        <w:t xml:space="preserve">– Avv.to Giuliano </w:t>
      </w:r>
      <w:proofErr w:type="spellStart"/>
      <w:r w:rsidR="00046F73" w:rsidRPr="00A54246">
        <w:rPr>
          <w:rFonts w:ascii="Times New Roman" w:hAnsi="Times New Roman" w:cs="Times New Roman"/>
          <w:b/>
          <w:sz w:val="28"/>
          <w:szCs w:val="28"/>
        </w:rPr>
        <w:t>Leuzzi</w:t>
      </w:r>
      <w:proofErr w:type="spellEnd"/>
      <w:r w:rsidRPr="00A54246">
        <w:rPr>
          <w:rFonts w:ascii="Times New Roman" w:hAnsi="Times New Roman" w:cs="Times New Roman"/>
          <w:b/>
          <w:sz w:val="28"/>
          <w:szCs w:val="28"/>
        </w:rPr>
        <w:t xml:space="preserve"> - Avv.to Gianluca Sposato</w:t>
      </w:r>
    </w:p>
    <w:p w:rsidR="00BE4109" w:rsidRDefault="00BE4109" w:rsidP="008470ED">
      <w:pPr>
        <w:spacing w:line="240" w:lineRule="auto"/>
        <w:jc w:val="both"/>
        <w:rPr>
          <w:rFonts w:ascii="Times New Roman" w:hAnsi="Times New Roman" w:cs="Times New Roman"/>
          <w:sz w:val="32"/>
          <w:szCs w:val="32"/>
        </w:rPr>
      </w:pPr>
    </w:p>
    <w:p w:rsidR="00A603B4" w:rsidRDefault="00406B4E" w:rsidP="008470ED">
      <w:pPr>
        <w:spacing w:line="240" w:lineRule="auto"/>
        <w:jc w:val="both"/>
        <w:rPr>
          <w:rFonts w:ascii="Times New Roman" w:hAnsi="Times New Roman" w:cs="Times New Roman"/>
          <w:sz w:val="32"/>
          <w:szCs w:val="32"/>
        </w:rPr>
      </w:pPr>
      <w:r>
        <w:rPr>
          <w:rFonts w:ascii="Times New Roman" w:hAnsi="Times New Roman" w:cs="Times New Roman"/>
          <w:sz w:val="32"/>
          <w:szCs w:val="32"/>
        </w:rPr>
        <w:t>Senza conoscere il programma dei lavori della sessione iniziale di questa Assemblea Nazionale , i</w:t>
      </w:r>
      <w:r w:rsidR="00A603B4">
        <w:rPr>
          <w:rFonts w:ascii="Times New Roman" w:hAnsi="Times New Roman" w:cs="Times New Roman"/>
          <w:sz w:val="32"/>
          <w:szCs w:val="32"/>
        </w:rPr>
        <w:t xml:space="preserve"> </w:t>
      </w:r>
      <w:r>
        <w:rPr>
          <w:rFonts w:ascii="Times New Roman" w:hAnsi="Times New Roman" w:cs="Times New Roman"/>
          <w:sz w:val="32"/>
          <w:szCs w:val="32"/>
        </w:rPr>
        <w:t xml:space="preserve">stessi </w:t>
      </w:r>
      <w:r w:rsidR="00A603B4">
        <w:rPr>
          <w:rFonts w:ascii="Times New Roman" w:hAnsi="Times New Roman" w:cs="Times New Roman"/>
          <w:sz w:val="32"/>
          <w:szCs w:val="32"/>
        </w:rPr>
        <w:t xml:space="preserve">temi indicati come oggetto </w:t>
      </w:r>
      <w:r>
        <w:rPr>
          <w:rFonts w:ascii="Times New Roman" w:hAnsi="Times New Roman" w:cs="Times New Roman"/>
          <w:sz w:val="32"/>
          <w:szCs w:val="32"/>
        </w:rPr>
        <w:t xml:space="preserve">di riflessione </w:t>
      </w:r>
      <w:r w:rsidR="00A603B4">
        <w:rPr>
          <w:rFonts w:ascii="Times New Roman" w:hAnsi="Times New Roman" w:cs="Times New Roman"/>
          <w:sz w:val="32"/>
          <w:szCs w:val="32"/>
        </w:rPr>
        <w:t xml:space="preserve"> </w:t>
      </w:r>
      <w:r w:rsidR="00046F73">
        <w:rPr>
          <w:rFonts w:ascii="Times New Roman" w:hAnsi="Times New Roman" w:cs="Times New Roman"/>
          <w:sz w:val="32"/>
          <w:szCs w:val="32"/>
        </w:rPr>
        <w:t xml:space="preserve">( tabelle, danno da morte ed ADR ) </w:t>
      </w:r>
      <w:r w:rsidR="00A603B4">
        <w:rPr>
          <w:rFonts w:ascii="Times New Roman" w:hAnsi="Times New Roman" w:cs="Times New Roman"/>
          <w:sz w:val="32"/>
          <w:szCs w:val="32"/>
        </w:rPr>
        <w:t>sono emersi</w:t>
      </w:r>
      <w:r>
        <w:rPr>
          <w:rFonts w:ascii="Times New Roman" w:hAnsi="Times New Roman" w:cs="Times New Roman"/>
          <w:sz w:val="32"/>
          <w:szCs w:val="32"/>
        </w:rPr>
        <w:t>,</w:t>
      </w:r>
      <w:r w:rsidR="00046F73">
        <w:rPr>
          <w:rFonts w:ascii="Times New Roman" w:hAnsi="Times New Roman" w:cs="Times New Roman"/>
          <w:sz w:val="32"/>
          <w:szCs w:val="32"/>
        </w:rPr>
        <w:t xml:space="preserve"> </w:t>
      </w:r>
      <w:r>
        <w:rPr>
          <w:rFonts w:ascii="Times New Roman" w:hAnsi="Times New Roman" w:cs="Times New Roman"/>
          <w:sz w:val="32"/>
          <w:szCs w:val="32"/>
        </w:rPr>
        <w:t xml:space="preserve">sin dalle prime riunioni, </w:t>
      </w:r>
      <w:r w:rsidR="00A603B4">
        <w:rPr>
          <w:rFonts w:ascii="Times New Roman" w:hAnsi="Times New Roman" w:cs="Times New Roman"/>
          <w:sz w:val="32"/>
          <w:szCs w:val="32"/>
        </w:rPr>
        <w:t xml:space="preserve">come quelli di principale interesse del gruppo danno costituito presso </w:t>
      </w:r>
      <w:r w:rsidR="00A603B4" w:rsidRPr="00406B4E">
        <w:rPr>
          <w:rFonts w:ascii="Times New Roman" w:hAnsi="Times New Roman" w:cs="Times New Roman"/>
          <w:sz w:val="32"/>
          <w:szCs w:val="32"/>
        </w:rPr>
        <w:t>l’Osservatorio del Tribunale di Roma</w:t>
      </w:r>
      <w:r w:rsidRPr="00406B4E">
        <w:rPr>
          <w:rFonts w:ascii="Times New Roman" w:hAnsi="Times New Roman" w:cs="Times New Roman"/>
          <w:sz w:val="32"/>
          <w:szCs w:val="32"/>
        </w:rPr>
        <w:t>.</w:t>
      </w:r>
      <w:r w:rsidR="00046F73">
        <w:rPr>
          <w:rFonts w:ascii="Times New Roman" w:hAnsi="Times New Roman" w:cs="Times New Roman"/>
          <w:sz w:val="32"/>
          <w:szCs w:val="32"/>
        </w:rPr>
        <w:t xml:space="preserve"> </w:t>
      </w:r>
    </w:p>
    <w:p w:rsidR="002A0D90" w:rsidRDefault="00A603B4" w:rsidP="008470ED">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Segnale che la pluriennale elaborazione giurisprudenziale sul tema non ha ancora esaurito le complesse problematiche che progressivamente emergono e che sembra non riescano ad esaurire </w:t>
      </w:r>
      <w:r w:rsidR="002A0D90">
        <w:rPr>
          <w:rFonts w:ascii="Times New Roman" w:hAnsi="Times New Roman" w:cs="Times New Roman"/>
          <w:sz w:val="32"/>
          <w:szCs w:val="32"/>
        </w:rPr>
        <w:t xml:space="preserve">e soprattutto chiudere </w:t>
      </w:r>
      <w:r>
        <w:rPr>
          <w:rFonts w:ascii="Times New Roman" w:hAnsi="Times New Roman" w:cs="Times New Roman"/>
          <w:sz w:val="32"/>
          <w:szCs w:val="32"/>
        </w:rPr>
        <w:t>la discussio</w:t>
      </w:r>
      <w:r w:rsidR="002A0D90">
        <w:rPr>
          <w:rFonts w:ascii="Times New Roman" w:hAnsi="Times New Roman" w:cs="Times New Roman"/>
          <w:sz w:val="32"/>
          <w:szCs w:val="32"/>
        </w:rPr>
        <w:t>ne.</w:t>
      </w:r>
    </w:p>
    <w:p w:rsidR="002A0D90" w:rsidRDefault="00A603B4" w:rsidP="008470ED">
      <w:pPr>
        <w:spacing w:line="240" w:lineRule="auto"/>
        <w:jc w:val="both"/>
        <w:rPr>
          <w:rFonts w:ascii="Times New Roman" w:hAnsi="Times New Roman" w:cs="Times New Roman"/>
          <w:sz w:val="32"/>
          <w:szCs w:val="32"/>
        </w:rPr>
      </w:pPr>
      <w:r>
        <w:rPr>
          <w:rFonts w:ascii="Times New Roman" w:hAnsi="Times New Roman" w:cs="Times New Roman"/>
          <w:sz w:val="32"/>
          <w:szCs w:val="32"/>
        </w:rPr>
        <w:t>Del resto il danno alla persona ha per oggetto l’esistenza dei singoli, in tutte le variegate sfaccettature</w:t>
      </w:r>
      <w:r w:rsidR="002A0D90">
        <w:rPr>
          <w:rFonts w:ascii="Times New Roman" w:hAnsi="Times New Roman" w:cs="Times New Roman"/>
          <w:sz w:val="32"/>
          <w:szCs w:val="32"/>
        </w:rPr>
        <w:t xml:space="preserve">: deve prevalere  la peculiarità del caso concreto  </w:t>
      </w:r>
      <w:r>
        <w:rPr>
          <w:rFonts w:ascii="Times New Roman" w:hAnsi="Times New Roman" w:cs="Times New Roman"/>
          <w:sz w:val="32"/>
          <w:szCs w:val="32"/>
        </w:rPr>
        <w:t xml:space="preserve"> ed è pertanto </w:t>
      </w:r>
      <w:r w:rsidR="00046F73">
        <w:rPr>
          <w:rFonts w:ascii="Times New Roman" w:hAnsi="Times New Roman" w:cs="Times New Roman"/>
          <w:sz w:val="32"/>
          <w:szCs w:val="32"/>
        </w:rPr>
        <w:t>fisiologico</w:t>
      </w:r>
      <w:r>
        <w:rPr>
          <w:rFonts w:ascii="Times New Roman" w:hAnsi="Times New Roman" w:cs="Times New Roman"/>
          <w:sz w:val="32"/>
          <w:szCs w:val="32"/>
        </w:rPr>
        <w:t xml:space="preserve"> </w:t>
      </w:r>
      <w:r w:rsidR="002A0D90">
        <w:rPr>
          <w:rFonts w:ascii="Times New Roman" w:hAnsi="Times New Roman" w:cs="Times New Roman"/>
          <w:sz w:val="32"/>
          <w:szCs w:val="32"/>
        </w:rPr>
        <w:t xml:space="preserve">che il tema </w:t>
      </w:r>
      <w:r w:rsidR="00046F73">
        <w:rPr>
          <w:rFonts w:ascii="Times New Roman" w:hAnsi="Times New Roman" w:cs="Times New Roman"/>
          <w:sz w:val="32"/>
          <w:szCs w:val="32"/>
        </w:rPr>
        <w:t xml:space="preserve">non </w:t>
      </w:r>
      <w:r w:rsidR="002A0D90">
        <w:rPr>
          <w:rFonts w:ascii="Times New Roman" w:hAnsi="Times New Roman" w:cs="Times New Roman"/>
          <w:sz w:val="32"/>
          <w:szCs w:val="32"/>
        </w:rPr>
        <w:t>possa essere costretto stabilmente in orientamenti di giurisprudenza o in regole rigide.</w:t>
      </w:r>
    </w:p>
    <w:p w:rsidR="002A0D90" w:rsidRDefault="002A0D90" w:rsidP="008470ED">
      <w:pPr>
        <w:spacing w:line="240" w:lineRule="auto"/>
        <w:jc w:val="both"/>
        <w:rPr>
          <w:rFonts w:ascii="Times New Roman" w:hAnsi="Times New Roman" w:cs="Times New Roman"/>
          <w:sz w:val="32"/>
          <w:szCs w:val="32"/>
        </w:rPr>
      </w:pPr>
      <w:r>
        <w:rPr>
          <w:rFonts w:ascii="Times New Roman" w:hAnsi="Times New Roman" w:cs="Times New Roman"/>
          <w:sz w:val="32"/>
          <w:szCs w:val="32"/>
        </w:rPr>
        <w:t>Tuttavia permane l’esigenza</w:t>
      </w:r>
      <w:r w:rsidR="00046F73">
        <w:rPr>
          <w:rFonts w:ascii="Times New Roman" w:hAnsi="Times New Roman" w:cs="Times New Roman"/>
          <w:sz w:val="32"/>
          <w:szCs w:val="32"/>
        </w:rPr>
        <w:t xml:space="preserve"> </w:t>
      </w:r>
      <w:r w:rsidRPr="007C444D">
        <w:rPr>
          <w:rFonts w:ascii="Times New Roman" w:hAnsi="Times New Roman" w:cs="Times New Roman"/>
          <w:b/>
          <w:sz w:val="32"/>
          <w:szCs w:val="32"/>
        </w:rPr>
        <w:t>di uniformità,</w:t>
      </w:r>
      <w:r w:rsidR="00046F73">
        <w:rPr>
          <w:rFonts w:ascii="Times New Roman" w:hAnsi="Times New Roman" w:cs="Times New Roman"/>
          <w:sz w:val="32"/>
          <w:szCs w:val="32"/>
        </w:rPr>
        <w:t xml:space="preserve"> ancora non del tutto soddisfatta: tale carattere </w:t>
      </w:r>
      <w:r>
        <w:rPr>
          <w:rFonts w:ascii="Times New Roman" w:hAnsi="Times New Roman" w:cs="Times New Roman"/>
          <w:sz w:val="32"/>
          <w:szCs w:val="32"/>
        </w:rPr>
        <w:t xml:space="preserve"> presenta </w:t>
      </w:r>
      <w:r w:rsidR="00046F73">
        <w:rPr>
          <w:rFonts w:ascii="Times New Roman" w:hAnsi="Times New Roman" w:cs="Times New Roman"/>
          <w:sz w:val="32"/>
          <w:szCs w:val="32"/>
        </w:rPr>
        <w:t xml:space="preserve">un grave punto di crisi </w:t>
      </w:r>
      <w:r>
        <w:rPr>
          <w:rFonts w:ascii="Times New Roman" w:hAnsi="Times New Roman" w:cs="Times New Roman"/>
          <w:sz w:val="32"/>
          <w:szCs w:val="32"/>
        </w:rPr>
        <w:t xml:space="preserve"> soprattutto se viene ricercato nell’ambito europeo, dove è emerso che la difformità nelle liquidazioni e nella individuazione delle fattispecie risarcibili </w:t>
      </w:r>
      <w:r w:rsidR="007C444D">
        <w:rPr>
          <w:rFonts w:ascii="Times New Roman" w:hAnsi="Times New Roman" w:cs="Times New Roman"/>
          <w:sz w:val="32"/>
          <w:szCs w:val="32"/>
        </w:rPr>
        <w:t xml:space="preserve">è </w:t>
      </w:r>
      <w:r>
        <w:rPr>
          <w:rFonts w:ascii="Times New Roman" w:hAnsi="Times New Roman" w:cs="Times New Roman"/>
          <w:sz w:val="32"/>
          <w:szCs w:val="32"/>
        </w:rPr>
        <w:t>notevolissima.</w:t>
      </w:r>
    </w:p>
    <w:p w:rsidR="002A0D90" w:rsidRPr="00406B4E" w:rsidRDefault="002A0D90" w:rsidP="002A0D90">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“Il livello di protezione  interno dei singoli stati membri presenta contrasti   stridenti: se da una parte, infatti, è stato chiaramente affermato dalla “nostra” Corte di Cassazione (Cass. 19405/2013  ) che per “ordine pubblico” deve intendersi “l’ordine pubblico internazionale” costituito da tutte le norme che tutelano i diritti fondamentali della persona  (con un esplicito richiamo, rispetto al caso affrontato,  all’art.8 della Convenzione  Europea dei Diritti dell’Uomo  che tutela la intangibilità delle relazioni familiari  ed all’art. 7 della Carta di Nizza per la  quale il risarcimento rappresenta la forma minima ed imprescindibile di tutela) , dall’altra si constata , attraverso l’esame delle legislazioni dei ventotto  paesi della UE , ma anche solo di quelli a noi più vicini e cioè Spagna , Francia e Portogallo,  che esiste </w:t>
      </w:r>
      <w:r w:rsidRPr="00406B4E">
        <w:rPr>
          <w:rFonts w:ascii="Times New Roman" w:hAnsi="Times New Roman" w:cs="Times New Roman"/>
          <w:i/>
          <w:sz w:val="28"/>
          <w:szCs w:val="28"/>
        </w:rPr>
        <w:lastRenderedPageBreak/>
        <w:t xml:space="preserve">una totale disomogeneità della normativa dei singoli stati  sia nella individuazione delle categorie da tutelare, sia  nella quantificazione del danno da riconoscere. </w:t>
      </w:r>
    </w:p>
    <w:p w:rsidR="00341D41" w:rsidRPr="00406B4E" w:rsidRDefault="002A0D90" w:rsidP="002A0D90">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Se poi si esamina  la legislazione  di alcuni paesi del nord Europa (  Svezia, Germania, Austria ed Olanda ) si constatano profonde diversità e sensibilità di approccio  al problema: ad esempio,  non è affatto riconosciuto il danno morale per perdita parentale , ragione per la quale con la  pronuncia sopra    richiamata, sul presupposto che ogni qualvolta si  parli di ordine pubblico si debba prendere a riferimento l’ordine pubblico internazionale, è stato ritenuto ostativo all’applicazione, nell’ordinamento italiano, dell’art. 1327 ABGB ( codice civile austriaco ) che limita il risarcimento al solo danno patrimoniale escludendo, ad esempio,  il riconoscimento del c.d. danno per perdita  parentale.</w:t>
      </w:r>
    </w:p>
    <w:p w:rsidR="00341D41" w:rsidRPr="00406B4E" w:rsidRDefault="00341D41" w:rsidP="002A0D90">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Omissis ………………</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E’  evidente una netta divaricazione  tra due sottogruppi di sistemi: vi sono infatti, da un lato, Italia e Spagna nei quali la posta principale di danno  (volendo seguire una concezione di distinzione “bipolare” in danni “patrimoniali” e “non patrimoniali”) è rappresentata da “danni non patrimoniali” (ovvero non legati da alcuna relazione con il  reddito della vittima) mentre nell’altro gruppo questa tipologia di danno è del tutto residuale (Francia) o addirittura assente (Germania e paesi con paesi giuridici di derivazione tedesca). </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Omissis </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Per quanto riguarda i danni alla persona,  in tutti i sistemi giuridici , eccezion fatta per la Spagna dove esiste da diversi anni una tabella di legge (Baremo) che prevede voci risarcitorie unitarie, il conteggio viene  effettuato con tecniche piuttosto simili. Ma la divergenza più accentuata  che rende i sistemi risarcitori completamente diversi fra loro, riguarda i c.d. “danni non patrimoniali”. </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Solo per fare alcuni esempi, nel Regno Unito l’importo previsto a titolo di “danno non patrimoniale”  è pari a quello fisso di €  13.686,00  (corrispondenti a £ 11.800) che è la somma, soggetta a rivalutazione, attualmente riconosciuta per il “danno da lutto” (Bereavement damage). </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Tale importo  è unico e viene suddiviso fra tutti gli aventi diritto che sono espressamente previsti dalla legge: i soli genitori, nel caso di decesso di un ragazzo di età inferiore ai 18 anni; e il solo coniuge nel caso di decesso del partner. </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Tutti gli altri familiari (compresi i figli nel caso del decesso di un genitore) non sono considerati dalla legge come “aventi diritto”. </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Omissis</w:t>
      </w:r>
    </w:p>
    <w:p w:rsidR="00341D41" w:rsidRPr="00406B4E" w:rsidRDefault="00341D41" w:rsidP="00341D41">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t xml:space="preserve">Se nel Regno Unito il danno “non patrimoniale” da lutto è risarcito con una somma fissa ed esigua, in Germania nulla è previsto a tale titolo: infatti , in tale paese si può corrispondere un risarcimento a titolo di danno “non patrimoniale” quale conseguenza di un decesso, solo qualora la morte del congiunto sia avvenuta con modalità o in circostanze del tutto particolari (ad es. decesso avvenuto in presenza di uno o più congiunti aventi diritto, circostanza questa che costituirebbe il presupposto  per il risarcimento di una sorta di “danno da shock“) e nei casi in cui la reazione al lutto ecceda il “normale” dolore, causando un danno da “stress post-traumatico”. </w:t>
      </w:r>
    </w:p>
    <w:p w:rsidR="002A0D90" w:rsidRPr="00C934FA" w:rsidRDefault="00341D41" w:rsidP="002A0D90">
      <w:pPr>
        <w:spacing w:after="0" w:line="240" w:lineRule="auto"/>
        <w:jc w:val="both"/>
        <w:rPr>
          <w:rFonts w:ascii="Times New Roman" w:hAnsi="Times New Roman" w:cs="Times New Roman"/>
          <w:i/>
          <w:sz w:val="28"/>
          <w:szCs w:val="28"/>
        </w:rPr>
      </w:pPr>
      <w:r w:rsidRPr="00406B4E">
        <w:rPr>
          <w:rFonts w:ascii="Times New Roman" w:hAnsi="Times New Roman" w:cs="Times New Roman"/>
          <w:i/>
          <w:sz w:val="28"/>
          <w:szCs w:val="28"/>
        </w:rPr>
        <w:lastRenderedPageBreak/>
        <w:t>Tranne che nelle ipotesi eccezionali sopra menzionate, il danno “non patrimoniale” per lesione del rapporto parentale non trova in Germania alcun ristoro.</w:t>
      </w:r>
      <w:r w:rsidR="002A0D90" w:rsidRPr="00C934FA">
        <w:rPr>
          <w:rFonts w:ascii="Times New Roman" w:hAnsi="Times New Roman" w:cs="Times New Roman"/>
          <w:i/>
          <w:sz w:val="28"/>
          <w:szCs w:val="28"/>
        </w:rPr>
        <w:t>”</w:t>
      </w:r>
      <w:r w:rsidR="00C934FA" w:rsidRPr="00C934FA">
        <w:rPr>
          <w:rFonts w:ascii="Times New Roman" w:hAnsi="Times New Roman" w:cs="Times New Roman"/>
          <w:i/>
          <w:sz w:val="28"/>
          <w:szCs w:val="28"/>
        </w:rPr>
        <w:t xml:space="preserve"> ( Antonella Di Florio, “Dalle nuove frontiere del danno ad un danno risarcibile senza frontiere” link  Questione Giustizia ). </w:t>
      </w:r>
    </w:p>
    <w:p w:rsidR="00287A04" w:rsidRPr="00C934FA" w:rsidRDefault="00287A04" w:rsidP="002A0D90">
      <w:pPr>
        <w:spacing w:after="0" w:line="240" w:lineRule="auto"/>
        <w:jc w:val="both"/>
        <w:rPr>
          <w:rFonts w:ascii="Times New Roman" w:hAnsi="Times New Roman" w:cs="Times New Roman"/>
          <w:i/>
          <w:sz w:val="28"/>
          <w:szCs w:val="28"/>
        </w:rPr>
      </w:pPr>
    </w:p>
    <w:p w:rsidR="00287A04" w:rsidRPr="00406B4E" w:rsidRDefault="00287A04" w:rsidP="002A0D90">
      <w:pPr>
        <w:spacing w:after="0" w:line="240" w:lineRule="auto"/>
        <w:jc w:val="both"/>
        <w:rPr>
          <w:rFonts w:ascii="Times New Roman" w:hAnsi="Times New Roman" w:cs="Times New Roman"/>
          <w:sz w:val="32"/>
          <w:szCs w:val="32"/>
        </w:rPr>
      </w:pPr>
      <w:r w:rsidRPr="00287A04">
        <w:rPr>
          <w:rFonts w:ascii="Times New Roman" w:hAnsi="Times New Roman" w:cs="Times New Roman"/>
          <w:sz w:val="32"/>
          <w:szCs w:val="32"/>
        </w:rPr>
        <w:t>In Ital</w:t>
      </w:r>
      <w:r>
        <w:rPr>
          <w:rFonts w:ascii="Times New Roman" w:hAnsi="Times New Roman" w:cs="Times New Roman"/>
          <w:sz w:val="32"/>
          <w:szCs w:val="32"/>
        </w:rPr>
        <w:t xml:space="preserve">ia il riconoscimento </w:t>
      </w:r>
      <w:r w:rsidR="00406B4E">
        <w:rPr>
          <w:rFonts w:ascii="Times New Roman" w:hAnsi="Times New Roman" w:cs="Times New Roman"/>
          <w:sz w:val="32"/>
          <w:szCs w:val="32"/>
        </w:rPr>
        <w:t xml:space="preserve">e la liquidazione </w:t>
      </w:r>
      <w:r>
        <w:rPr>
          <w:rFonts w:ascii="Times New Roman" w:hAnsi="Times New Roman" w:cs="Times New Roman"/>
          <w:sz w:val="32"/>
          <w:szCs w:val="32"/>
        </w:rPr>
        <w:t xml:space="preserve">del danno non patrimoniale ha impegnato e continua ad impegnare la giurisprudenza di legittimità </w:t>
      </w:r>
      <w:r w:rsidR="005339AB">
        <w:rPr>
          <w:rFonts w:ascii="Times New Roman" w:hAnsi="Times New Roman" w:cs="Times New Roman"/>
          <w:sz w:val="32"/>
          <w:szCs w:val="32"/>
        </w:rPr>
        <w:t xml:space="preserve">con arresti </w:t>
      </w:r>
      <w:r w:rsidR="003E3E03">
        <w:rPr>
          <w:rFonts w:ascii="Times New Roman" w:hAnsi="Times New Roman" w:cs="Times New Roman"/>
          <w:sz w:val="32"/>
          <w:szCs w:val="32"/>
        </w:rPr>
        <w:t>continui</w:t>
      </w:r>
      <w:r w:rsidR="00BC61D4">
        <w:rPr>
          <w:rFonts w:ascii="Times New Roman" w:hAnsi="Times New Roman" w:cs="Times New Roman"/>
          <w:sz w:val="32"/>
          <w:szCs w:val="32"/>
        </w:rPr>
        <w:t xml:space="preserve">, </w:t>
      </w:r>
      <w:r w:rsidR="00406B4E">
        <w:rPr>
          <w:rFonts w:ascii="Times New Roman" w:hAnsi="Times New Roman" w:cs="Times New Roman"/>
          <w:sz w:val="32"/>
          <w:szCs w:val="32"/>
        </w:rPr>
        <w:t xml:space="preserve">sempre </w:t>
      </w:r>
      <w:r w:rsidR="00BC61D4">
        <w:rPr>
          <w:rFonts w:ascii="Times New Roman" w:hAnsi="Times New Roman" w:cs="Times New Roman"/>
          <w:sz w:val="32"/>
          <w:szCs w:val="32"/>
        </w:rPr>
        <w:t xml:space="preserve"> nel solco </w:t>
      </w:r>
      <w:r w:rsidR="003E3E03">
        <w:rPr>
          <w:rFonts w:ascii="Times New Roman" w:hAnsi="Times New Roman" w:cs="Times New Roman"/>
          <w:sz w:val="32"/>
          <w:szCs w:val="32"/>
        </w:rPr>
        <w:t xml:space="preserve"> </w:t>
      </w:r>
      <w:r w:rsidR="00406B4E">
        <w:rPr>
          <w:rFonts w:ascii="Times New Roman" w:hAnsi="Times New Roman" w:cs="Times New Roman"/>
          <w:sz w:val="32"/>
          <w:szCs w:val="32"/>
        </w:rPr>
        <w:t xml:space="preserve">dei principi affermati dalle sentenze </w:t>
      </w:r>
      <w:r w:rsidR="005339AB">
        <w:rPr>
          <w:rFonts w:ascii="Times New Roman" w:hAnsi="Times New Roman" w:cs="Times New Roman"/>
          <w:sz w:val="32"/>
          <w:szCs w:val="32"/>
        </w:rPr>
        <w:t>di San Martino</w:t>
      </w:r>
      <w:r w:rsidR="00097656">
        <w:rPr>
          <w:rFonts w:ascii="Times New Roman" w:hAnsi="Times New Roman" w:cs="Times New Roman"/>
          <w:sz w:val="32"/>
          <w:szCs w:val="32"/>
        </w:rPr>
        <w:t xml:space="preserve"> del 2008</w:t>
      </w:r>
      <w:r w:rsidR="00406B4E">
        <w:rPr>
          <w:rFonts w:ascii="Times New Roman" w:hAnsi="Times New Roman" w:cs="Times New Roman"/>
          <w:sz w:val="32"/>
          <w:szCs w:val="32"/>
        </w:rPr>
        <w:t>, sintetizzabili nell’esigenza</w:t>
      </w:r>
      <w:r w:rsidR="005339AB">
        <w:rPr>
          <w:rFonts w:ascii="Times New Roman" w:hAnsi="Times New Roman" w:cs="Times New Roman"/>
          <w:sz w:val="32"/>
          <w:szCs w:val="32"/>
        </w:rPr>
        <w:t xml:space="preserve"> di riconoscere per il danno non patrimoniale </w:t>
      </w:r>
      <w:r w:rsidR="005339AB" w:rsidRPr="007C444D">
        <w:rPr>
          <w:rFonts w:ascii="Times New Roman" w:hAnsi="Times New Roman" w:cs="Times New Roman"/>
          <w:b/>
          <w:sz w:val="32"/>
          <w:szCs w:val="32"/>
        </w:rPr>
        <w:t>un risarcimento giusto e pieno e  di evitare duplicazioni ma anche vuoti risarcitori.</w:t>
      </w:r>
    </w:p>
    <w:p w:rsidR="008470ED" w:rsidRDefault="005339AB" w:rsidP="002A0D90">
      <w:pPr>
        <w:spacing w:after="0" w:line="240" w:lineRule="auto"/>
        <w:jc w:val="both"/>
        <w:rPr>
          <w:rFonts w:ascii="Times New Roman" w:hAnsi="Times New Roman" w:cs="Times New Roman"/>
          <w:sz w:val="32"/>
          <w:szCs w:val="32"/>
        </w:rPr>
      </w:pPr>
      <w:r w:rsidRPr="005339AB">
        <w:rPr>
          <w:rFonts w:ascii="Times New Roman" w:hAnsi="Times New Roman" w:cs="Times New Roman"/>
          <w:sz w:val="32"/>
          <w:szCs w:val="32"/>
        </w:rPr>
        <w:t xml:space="preserve">La questione tabellare che sembrava risolta dalla sentenza c.d. Amatucci </w:t>
      </w:r>
      <w:r w:rsidR="003764E2">
        <w:rPr>
          <w:rFonts w:ascii="Times New Roman" w:hAnsi="Times New Roman" w:cs="Times New Roman"/>
          <w:sz w:val="32"/>
          <w:szCs w:val="32"/>
        </w:rPr>
        <w:t xml:space="preserve">( Cass. 12408/2011 ) </w:t>
      </w:r>
      <w:r w:rsidRPr="005339AB">
        <w:rPr>
          <w:rFonts w:ascii="Times New Roman" w:hAnsi="Times New Roman" w:cs="Times New Roman"/>
          <w:sz w:val="32"/>
          <w:szCs w:val="32"/>
        </w:rPr>
        <w:t>con un espresso favore per le tabelle del Tribunale di Milano ha trovato</w:t>
      </w:r>
      <w:r w:rsidR="003764E2">
        <w:rPr>
          <w:rFonts w:ascii="Times New Roman" w:hAnsi="Times New Roman" w:cs="Times New Roman"/>
          <w:sz w:val="32"/>
          <w:szCs w:val="32"/>
        </w:rPr>
        <w:t>,</w:t>
      </w:r>
      <w:r w:rsidRPr="005339AB">
        <w:rPr>
          <w:rFonts w:ascii="Times New Roman" w:hAnsi="Times New Roman" w:cs="Times New Roman"/>
          <w:sz w:val="32"/>
          <w:szCs w:val="32"/>
        </w:rPr>
        <w:t xml:space="preserve"> in verità</w:t>
      </w:r>
      <w:r w:rsidR="003764E2">
        <w:rPr>
          <w:rFonts w:ascii="Times New Roman" w:hAnsi="Times New Roman" w:cs="Times New Roman"/>
          <w:sz w:val="32"/>
          <w:szCs w:val="32"/>
        </w:rPr>
        <w:t>,</w:t>
      </w:r>
      <w:r w:rsidRPr="005339AB">
        <w:rPr>
          <w:rFonts w:ascii="Times New Roman" w:hAnsi="Times New Roman" w:cs="Times New Roman"/>
          <w:sz w:val="32"/>
          <w:szCs w:val="32"/>
        </w:rPr>
        <w:t xml:space="preserve"> qualche rielaborazione </w:t>
      </w:r>
      <w:r w:rsidR="00097656">
        <w:rPr>
          <w:rFonts w:ascii="Times New Roman" w:hAnsi="Times New Roman" w:cs="Times New Roman"/>
          <w:sz w:val="32"/>
          <w:szCs w:val="32"/>
        </w:rPr>
        <w:t xml:space="preserve">fondata sulla </w:t>
      </w:r>
      <w:r w:rsidR="003764E2">
        <w:rPr>
          <w:rFonts w:ascii="Times New Roman" w:hAnsi="Times New Roman" w:cs="Times New Roman"/>
          <w:sz w:val="32"/>
          <w:szCs w:val="32"/>
        </w:rPr>
        <w:t xml:space="preserve">esclusiva </w:t>
      </w:r>
      <w:r w:rsidR="00097656">
        <w:rPr>
          <w:rFonts w:ascii="Times New Roman" w:hAnsi="Times New Roman" w:cs="Times New Roman"/>
          <w:sz w:val="32"/>
          <w:szCs w:val="32"/>
        </w:rPr>
        <w:t xml:space="preserve">necessità di garantire </w:t>
      </w:r>
      <w:r w:rsidRPr="005339AB">
        <w:rPr>
          <w:rFonts w:ascii="Times New Roman" w:hAnsi="Times New Roman" w:cs="Times New Roman"/>
          <w:sz w:val="32"/>
          <w:szCs w:val="32"/>
        </w:rPr>
        <w:t>l’uniformità</w:t>
      </w:r>
      <w:r>
        <w:rPr>
          <w:rFonts w:ascii="Times New Roman" w:hAnsi="Times New Roman" w:cs="Times New Roman"/>
          <w:b/>
          <w:sz w:val="32"/>
          <w:szCs w:val="32"/>
        </w:rPr>
        <w:t xml:space="preserve"> </w:t>
      </w:r>
      <w:r w:rsidRPr="003764E2">
        <w:rPr>
          <w:rFonts w:ascii="Times New Roman" w:hAnsi="Times New Roman" w:cs="Times New Roman"/>
          <w:sz w:val="32"/>
          <w:szCs w:val="32"/>
        </w:rPr>
        <w:t>(v. Cass.</w:t>
      </w:r>
      <w:r w:rsidRPr="003764E2">
        <w:rPr>
          <w:rFonts w:ascii="Times New Roman" w:hAnsi="Times New Roman" w:cs="Times New Roman"/>
          <w:b/>
          <w:sz w:val="32"/>
          <w:szCs w:val="32"/>
        </w:rPr>
        <w:t xml:space="preserve"> </w:t>
      </w:r>
      <w:r w:rsidR="003764E2" w:rsidRPr="003764E2">
        <w:rPr>
          <w:rFonts w:ascii="Times New Roman" w:hAnsi="Times New Roman" w:cs="Times New Roman"/>
          <w:bCs/>
          <w:sz w:val="32"/>
          <w:szCs w:val="32"/>
        </w:rPr>
        <w:t xml:space="preserve">17879/2011 e, successivamente, anche da Cass. sez. VI 24748/2011 sia da Cass. Sez. Lavoro 16866/2011; </w:t>
      </w:r>
      <w:r w:rsidR="003764E2">
        <w:rPr>
          <w:rFonts w:ascii="Times New Roman" w:hAnsi="Times New Roman" w:cs="Times New Roman"/>
          <w:bCs/>
          <w:sz w:val="32"/>
          <w:szCs w:val="32"/>
        </w:rPr>
        <w:t xml:space="preserve">nonché </w:t>
      </w:r>
      <w:r w:rsidR="003764E2" w:rsidRPr="003764E2">
        <w:rPr>
          <w:rFonts w:ascii="Times New Roman" w:hAnsi="Times New Roman" w:cs="Times New Roman"/>
          <w:bCs/>
          <w:iCs/>
          <w:sz w:val="32"/>
          <w:szCs w:val="32"/>
        </w:rPr>
        <w:t xml:space="preserve"> Cass. 19402/2013 e Cass. 22585/201</w:t>
      </w:r>
      <w:r w:rsidR="00046F73">
        <w:rPr>
          <w:rFonts w:ascii="Times New Roman" w:hAnsi="Times New Roman" w:cs="Times New Roman"/>
          <w:bCs/>
          <w:iCs/>
          <w:sz w:val="32"/>
          <w:szCs w:val="32"/>
        </w:rPr>
        <w:t xml:space="preserve">2013) </w:t>
      </w:r>
      <w:r w:rsidR="003764E2">
        <w:rPr>
          <w:bCs/>
          <w:iCs/>
        </w:rPr>
        <w:t xml:space="preserve">  </w:t>
      </w:r>
      <w:r w:rsidR="003764E2" w:rsidRPr="003764E2">
        <w:rPr>
          <w:rFonts w:ascii="Times New Roman" w:hAnsi="Times New Roman" w:cs="Times New Roman"/>
          <w:sz w:val="32"/>
          <w:szCs w:val="32"/>
        </w:rPr>
        <w:t xml:space="preserve">senza escludere del tutto la possibilità di ricorrere ad altre tabelle che garantiscano, comunque, un risarcimento rispondente </w:t>
      </w:r>
      <w:r w:rsidR="003764E2" w:rsidRPr="003764E2">
        <w:rPr>
          <w:rFonts w:ascii="Times New Roman" w:hAnsi="Times New Roman" w:cs="Times New Roman"/>
          <w:sz w:val="32"/>
          <w:szCs w:val="32"/>
          <w:u w:val="single"/>
        </w:rPr>
        <w:t>al principio di pienezza</w:t>
      </w:r>
      <w:r w:rsidR="003764E2" w:rsidRPr="003764E2">
        <w:rPr>
          <w:rFonts w:ascii="Times New Roman" w:hAnsi="Times New Roman" w:cs="Times New Roman"/>
          <w:sz w:val="32"/>
          <w:szCs w:val="32"/>
        </w:rPr>
        <w:t xml:space="preserve"> sopra richiamato</w:t>
      </w:r>
      <w:r w:rsidR="00CB7687" w:rsidRPr="003764E2">
        <w:rPr>
          <w:rFonts w:ascii="Times New Roman" w:hAnsi="Times New Roman" w:cs="Times New Roman"/>
          <w:sz w:val="32"/>
          <w:szCs w:val="32"/>
        </w:rPr>
        <w:t xml:space="preserve"> </w:t>
      </w:r>
      <w:r w:rsidR="0077444A">
        <w:rPr>
          <w:rFonts w:ascii="Times New Roman" w:hAnsi="Times New Roman" w:cs="Times New Roman"/>
          <w:sz w:val="32"/>
          <w:szCs w:val="32"/>
        </w:rPr>
        <w:t xml:space="preserve">che di recente la Cassazione ha ritenuto non sufficientemente tutelato neanche dalla  tabella meneghina ( Cass. 15733/2015 ). </w:t>
      </w:r>
    </w:p>
    <w:p w:rsidR="003764E2" w:rsidRPr="008470ED" w:rsidRDefault="0077444A" w:rsidP="002A0D90">
      <w:pPr>
        <w:spacing w:after="0" w:line="240" w:lineRule="auto"/>
        <w:jc w:val="both"/>
        <w:rPr>
          <w:rFonts w:ascii="Times New Roman" w:hAnsi="Times New Roman" w:cs="Times New Roman"/>
          <w:b/>
          <w:sz w:val="32"/>
          <w:szCs w:val="32"/>
        </w:rPr>
      </w:pPr>
      <w:r w:rsidRPr="008470ED">
        <w:rPr>
          <w:rFonts w:ascii="Times New Roman" w:hAnsi="Times New Roman" w:cs="Times New Roman"/>
          <w:b/>
          <w:sz w:val="32"/>
          <w:szCs w:val="32"/>
        </w:rPr>
        <w:t>Continua a prevalere, in buona sostanza, l</w:t>
      </w:r>
      <w:r w:rsidR="008470ED">
        <w:rPr>
          <w:rFonts w:ascii="Times New Roman" w:hAnsi="Times New Roman" w:cs="Times New Roman"/>
          <w:b/>
          <w:sz w:val="32"/>
          <w:szCs w:val="32"/>
        </w:rPr>
        <w:t>a peculiarità del caso concreto e l’esigenza di massima personalizzazione.</w:t>
      </w:r>
    </w:p>
    <w:p w:rsidR="00CB7687" w:rsidRPr="008851D1" w:rsidRDefault="003764E2" w:rsidP="002A0D9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Il dibattito, peraltro, dovrebbe essere entro poco tempo superato, in quanto </w:t>
      </w:r>
      <w:r w:rsidR="00CB7687" w:rsidRPr="008851D1">
        <w:rPr>
          <w:rFonts w:ascii="Times New Roman" w:hAnsi="Times New Roman" w:cs="Times New Roman"/>
          <w:sz w:val="32"/>
          <w:szCs w:val="32"/>
        </w:rPr>
        <w:t xml:space="preserve">risulta imminente l’approvazione delle tabelle Ministeriali anche per le lesioni macropermanenti. </w:t>
      </w:r>
    </w:p>
    <w:p w:rsidR="00CB7687" w:rsidRPr="008851D1" w:rsidRDefault="00BC61D4" w:rsidP="002A0D90">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Infatti, è</w:t>
      </w:r>
      <w:r w:rsidR="008470ED">
        <w:rPr>
          <w:rFonts w:ascii="Times New Roman" w:hAnsi="Times New Roman" w:cs="Times New Roman"/>
          <w:b/>
          <w:sz w:val="32"/>
          <w:szCs w:val="32"/>
        </w:rPr>
        <w:t xml:space="preserve"> </w:t>
      </w:r>
      <w:r w:rsidR="00CB7687" w:rsidRPr="008851D1">
        <w:rPr>
          <w:rFonts w:ascii="Times New Roman" w:hAnsi="Times New Roman" w:cs="Times New Roman"/>
          <w:b/>
          <w:sz w:val="32"/>
          <w:szCs w:val="32"/>
        </w:rPr>
        <w:t xml:space="preserve">all’esame </w:t>
      </w:r>
      <w:r w:rsidR="003764E2" w:rsidRPr="008851D1">
        <w:rPr>
          <w:rFonts w:ascii="Times New Roman" w:hAnsi="Times New Roman" w:cs="Times New Roman"/>
          <w:b/>
          <w:sz w:val="32"/>
          <w:szCs w:val="32"/>
        </w:rPr>
        <w:t xml:space="preserve">della Commissione Giustizia </w:t>
      </w:r>
      <w:r w:rsidR="0077444A">
        <w:rPr>
          <w:rFonts w:ascii="Times New Roman" w:hAnsi="Times New Roman" w:cs="Times New Roman"/>
          <w:b/>
          <w:sz w:val="32"/>
          <w:szCs w:val="32"/>
        </w:rPr>
        <w:t xml:space="preserve">della Camera </w:t>
      </w:r>
      <w:r w:rsidR="003764E2" w:rsidRPr="008851D1">
        <w:rPr>
          <w:rFonts w:ascii="Times New Roman" w:hAnsi="Times New Roman" w:cs="Times New Roman"/>
          <w:b/>
          <w:sz w:val="32"/>
          <w:szCs w:val="32"/>
        </w:rPr>
        <w:t xml:space="preserve"> </w:t>
      </w:r>
      <w:r w:rsidR="00CB7687" w:rsidRPr="008851D1">
        <w:rPr>
          <w:rFonts w:ascii="Times New Roman" w:hAnsi="Times New Roman" w:cs="Times New Roman"/>
          <w:b/>
          <w:sz w:val="32"/>
          <w:szCs w:val="32"/>
        </w:rPr>
        <w:t>il nuovo testo della proposta di legge</w:t>
      </w:r>
      <w:r w:rsidR="0077444A">
        <w:rPr>
          <w:rFonts w:ascii="Times New Roman" w:hAnsi="Times New Roman" w:cs="Times New Roman"/>
          <w:b/>
          <w:sz w:val="32"/>
          <w:szCs w:val="32"/>
        </w:rPr>
        <w:t xml:space="preserve"> C.</w:t>
      </w:r>
      <w:r w:rsidR="00CB7687" w:rsidRPr="008851D1">
        <w:rPr>
          <w:rFonts w:ascii="Times New Roman" w:hAnsi="Times New Roman" w:cs="Times New Roman"/>
          <w:b/>
          <w:sz w:val="32"/>
          <w:szCs w:val="32"/>
        </w:rPr>
        <w:t xml:space="preserve"> 1063 ( Buonafede )</w:t>
      </w:r>
      <w:r w:rsidR="008851D1" w:rsidRPr="008851D1">
        <w:rPr>
          <w:rFonts w:ascii="Times New Roman" w:hAnsi="Times New Roman" w:cs="Times New Roman"/>
          <w:b/>
          <w:sz w:val="32"/>
          <w:szCs w:val="32"/>
        </w:rPr>
        <w:t xml:space="preserve">; inoltre è stata approvata dalla Camera </w:t>
      </w:r>
      <w:r w:rsidR="0077444A">
        <w:rPr>
          <w:rFonts w:ascii="Times New Roman" w:hAnsi="Times New Roman" w:cs="Times New Roman"/>
          <w:b/>
          <w:sz w:val="32"/>
          <w:szCs w:val="32"/>
        </w:rPr>
        <w:t xml:space="preserve">dei Deputati </w:t>
      </w:r>
      <w:r w:rsidR="00CB7687" w:rsidRPr="008851D1">
        <w:rPr>
          <w:rFonts w:ascii="Times New Roman" w:hAnsi="Times New Roman" w:cs="Times New Roman"/>
          <w:b/>
          <w:sz w:val="32"/>
          <w:szCs w:val="32"/>
        </w:rPr>
        <w:t>la legge annuale sul mer</w:t>
      </w:r>
      <w:r w:rsidR="0077444A">
        <w:rPr>
          <w:rFonts w:ascii="Times New Roman" w:hAnsi="Times New Roman" w:cs="Times New Roman"/>
          <w:b/>
          <w:sz w:val="32"/>
          <w:szCs w:val="32"/>
        </w:rPr>
        <w:t>cato e la concorrenza A.C 3012  che è in attesa di approvazione da parte del Senato.</w:t>
      </w:r>
      <w:r w:rsidR="00CB7687" w:rsidRPr="008851D1">
        <w:rPr>
          <w:rFonts w:ascii="Times New Roman" w:hAnsi="Times New Roman" w:cs="Times New Roman"/>
          <w:b/>
          <w:sz w:val="32"/>
          <w:szCs w:val="32"/>
        </w:rPr>
        <w:t xml:space="preserve"> </w:t>
      </w:r>
    </w:p>
    <w:p w:rsidR="008851D1" w:rsidRDefault="008851D1" w:rsidP="002A0D90">
      <w:pPr>
        <w:spacing w:after="0" w:line="240" w:lineRule="auto"/>
        <w:jc w:val="both"/>
        <w:rPr>
          <w:rFonts w:ascii="Times New Roman" w:hAnsi="Times New Roman" w:cs="Times New Roman"/>
          <w:sz w:val="32"/>
          <w:szCs w:val="32"/>
        </w:rPr>
      </w:pPr>
      <w:r w:rsidRPr="008470ED">
        <w:rPr>
          <w:rFonts w:ascii="Times New Roman" w:hAnsi="Times New Roman" w:cs="Times New Roman"/>
          <w:sz w:val="32"/>
          <w:szCs w:val="32"/>
          <w:u w:val="single"/>
        </w:rPr>
        <w:t xml:space="preserve">La </w:t>
      </w:r>
      <w:r w:rsidR="00097656" w:rsidRPr="008470ED">
        <w:rPr>
          <w:rFonts w:ascii="Times New Roman" w:hAnsi="Times New Roman" w:cs="Times New Roman"/>
          <w:sz w:val="32"/>
          <w:szCs w:val="32"/>
          <w:u w:val="single"/>
        </w:rPr>
        <w:t xml:space="preserve"> proposta </w:t>
      </w:r>
      <w:r w:rsidR="0077444A" w:rsidRPr="008470ED">
        <w:rPr>
          <w:rFonts w:ascii="Times New Roman" w:hAnsi="Times New Roman" w:cs="Times New Roman"/>
          <w:sz w:val="32"/>
          <w:szCs w:val="32"/>
          <w:u w:val="single"/>
        </w:rPr>
        <w:t>di legge C 1063</w:t>
      </w:r>
      <w:r w:rsidR="0077444A">
        <w:rPr>
          <w:rFonts w:ascii="Times New Roman" w:hAnsi="Times New Roman" w:cs="Times New Roman"/>
          <w:sz w:val="32"/>
          <w:szCs w:val="32"/>
        </w:rPr>
        <w:t xml:space="preserve"> </w:t>
      </w:r>
      <w:r w:rsidR="00097656" w:rsidRPr="008851D1">
        <w:rPr>
          <w:rFonts w:ascii="Times New Roman" w:hAnsi="Times New Roman" w:cs="Times New Roman"/>
          <w:sz w:val="32"/>
          <w:szCs w:val="32"/>
        </w:rPr>
        <w:t>punta ad un rafforzamento della tutela dei diritti fondamentali</w:t>
      </w:r>
      <w:r>
        <w:rPr>
          <w:rFonts w:ascii="Times New Roman" w:hAnsi="Times New Roman" w:cs="Times New Roman"/>
          <w:sz w:val="32"/>
          <w:szCs w:val="32"/>
        </w:rPr>
        <w:t xml:space="preserve"> attraverso una aumentata valorizzazione della fattispecie del danno non patrimoniale</w:t>
      </w:r>
      <w:r w:rsidR="00097656" w:rsidRPr="008851D1">
        <w:rPr>
          <w:rFonts w:ascii="Times New Roman" w:hAnsi="Times New Roman" w:cs="Times New Roman"/>
          <w:sz w:val="32"/>
          <w:szCs w:val="32"/>
        </w:rPr>
        <w:t xml:space="preserve">; </w:t>
      </w:r>
      <w:r>
        <w:rPr>
          <w:rFonts w:ascii="Times New Roman" w:hAnsi="Times New Roman" w:cs="Times New Roman"/>
          <w:sz w:val="32"/>
          <w:szCs w:val="32"/>
        </w:rPr>
        <w:t xml:space="preserve">il testo </w:t>
      </w:r>
      <w:r w:rsidR="00406B4E">
        <w:rPr>
          <w:rFonts w:ascii="Times New Roman" w:hAnsi="Times New Roman" w:cs="Times New Roman"/>
          <w:sz w:val="32"/>
          <w:szCs w:val="32"/>
        </w:rPr>
        <w:t xml:space="preserve">del progetto di legge approvato </w:t>
      </w:r>
      <w:r>
        <w:rPr>
          <w:rFonts w:ascii="Times New Roman" w:hAnsi="Times New Roman" w:cs="Times New Roman"/>
          <w:sz w:val="32"/>
          <w:szCs w:val="32"/>
        </w:rPr>
        <w:t xml:space="preserve"> da un ramo del Parlamento </w:t>
      </w:r>
      <w:r w:rsidR="00097656" w:rsidRPr="008851D1">
        <w:rPr>
          <w:rFonts w:ascii="Times New Roman" w:hAnsi="Times New Roman" w:cs="Times New Roman"/>
          <w:sz w:val="32"/>
          <w:szCs w:val="32"/>
        </w:rPr>
        <w:t xml:space="preserve"> mira</w:t>
      </w:r>
      <w:r w:rsidR="0077444A">
        <w:rPr>
          <w:rFonts w:ascii="Times New Roman" w:hAnsi="Times New Roman" w:cs="Times New Roman"/>
          <w:sz w:val="32"/>
          <w:szCs w:val="32"/>
        </w:rPr>
        <w:t xml:space="preserve">, invece, </w:t>
      </w:r>
      <w:r w:rsidR="00097656" w:rsidRPr="008851D1">
        <w:rPr>
          <w:rFonts w:ascii="Times New Roman" w:hAnsi="Times New Roman" w:cs="Times New Roman"/>
          <w:sz w:val="32"/>
          <w:szCs w:val="32"/>
        </w:rPr>
        <w:t xml:space="preserve"> ad accentuare l</w:t>
      </w:r>
      <w:r w:rsidR="00AA0A04" w:rsidRPr="008851D1">
        <w:rPr>
          <w:rFonts w:ascii="Times New Roman" w:hAnsi="Times New Roman" w:cs="Times New Roman"/>
          <w:sz w:val="32"/>
          <w:szCs w:val="32"/>
        </w:rPr>
        <w:t>a</w:t>
      </w:r>
      <w:r w:rsidR="00097656" w:rsidRPr="008851D1">
        <w:rPr>
          <w:rFonts w:ascii="Times New Roman" w:hAnsi="Times New Roman" w:cs="Times New Roman"/>
          <w:sz w:val="32"/>
          <w:szCs w:val="32"/>
        </w:rPr>
        <w:t xml:space="preserve"> tutel</w:t>
      </w:r>
      <w:r w:rsidR="00AA0A04" w:rsidRPr="008851D1">
        <w:rPr>
          <w:rFonts w:ascii="Times New Roman" w:hAnsi="Times New Roman" w:cs="Times New Roman"/>
          <w:sz w:val="32"/>
          <w:szCs w:val="32"/>
        </w:rPr>
        <w:t>a del mercato e della concorrenza</w:t>
      </w:r>
      <w:r>
        <w:rPr>
          <w:rFonts w:ascii="Times New Roman" w:hAnsi="Times New Roman" w:cs="Times New Roman"/>
          <w:sz w:val="32"/>
          <w:szCs w:val="32"/>
        </w:rPr>
        <w:t xml:space="preserve">, </w:t>
      </w:r>
      <w:r w:rsidR="00AA0A04" w:rsidRPr="008851D1">
        <w:rPr>
          <w:rFonts w:ascii="Times New Roman" w:hAnsi="Times New Roman" w:cs="Times New Roman"/>
          <w:sz w:val="32"/>
          <w:szCs w:val="32"/>
        </w:rPr>
        <w:t xml:space="preserve"> proponendo soluzioni </w:t>
      </w:r>
      <w:r w:rsidR="00406B4E">
        <w:rPr>
          <w:rFonts w:ascii="Times New Roman" w:hAnsi="Times New Roman" w:cs="Times New Roman"/>
          <w:sz w:val="32"/>
          <w:szCs w:val="32"/>
        </w:rPr>
        <w:t>difformi dalla proposta legislativa ancora in esame</w:t>
      </w:r>
      <w:r>
        <w:rPr>
          <w:rFonts w:ascii="Times New Roman" w:hAnsi="Times New Roman" w:cs="Times New Roman"/>
          <w:sz w:val="32"/>
          <w:szCs w:val="32"/>
        </w:rPr>
        <w:t>.</w:t>
      </w:r>
    </w:p>
    <w:p w:rsidR="004A1659" w:rsidRDefault="0077444A" w:rsidP="002A0D90">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Entrambi i testi prospettano una modifica degli artt. 138 e 139 del CdA ma presentano enormi differenze fra loro</w:t>
      </w:r>
      <w:r w:rsidR="004A1659">
        <w:rPr>
          <w:rFonts w:ascii="Times New Roman" w:hAnsi="Times New Roman" w:cs="Times New Roman"/>
          <w:b/>
          <w:sz w:val="32"/>
          <w:szCs w:val="32"/>
        </w:rPr>
        <w:t>.</w:t>
      </w:r>
    </w:p>
    <w:p w:rsidR="004A1659" w:rsidRPr="000D48AC" w:rsidRDefault="004A1659" w:rsidP="002A0D90">
      <w:pPr>
        <w:spacing w:after="0" w:line="240" w:lineRule="auto"/>
        <w:jc w:val="both"/>
        <w:rPr>
          <w:rFonts w:ascii="Times New Roman" w:hAnsi="Times New Roman" w:cs="Times New Roman"/>
          <w:b/>
          <w:sz w:val="32"/>
          <w:szCs w:val="32"/>
          <w:u w:val="single"/>
        </w:rPr>
      </w:pPr>
      <w:r w:rsidRPr="000D48AC">
        <w:rPr>
          <w:rFonts w:ascii="Times New Roman" w:hAnsi="Times New Roman" w:cs="Times New Roman"/>
          <w:b/>
          <w:sz w:val="32"/>
          <w:szCs w:val="32"/>
          <w:u w:val="single"/>
        </w:rPr>
        <w:t>L</w:t>
      </w:r>
      <w:r w:rsidR="0077444A" w:rsidRPr="000D48AC">
        <w:rPr>
          <w:rFonts w:ascii="Times New Roman" w:hAnsi="Times New Roman" w:cs="Times New Roman"/>
          <w:b/>
          <w:sz w:val="32"/>
          <w:szCs w:val="32"/>
          <w:u w:val="single"/>
        </w:rPr>
        <w:t>a C</w:t>
      </w:r>
      <w:r w:rsidR="00BE4109" w:rsidRPr="000D48AC">
        <w:rPr>
          <w:rFonts w:ascii="Times New Roman" w:hAnsi="Times New Roman" w:cs="Times New Roman"/>
          <w:b/>
          <w:sz w:val="32"/>
          <w:szCs w:val="32"/>
          <w:u w:val="single"/>
        </w:rPr>
        <w:t>.</w:t>
      </w:r>
      <w:r w:rsidR="0077444A" w:rsidRPr="000D48AC">
        <w:rPr>
          <w:rFonts w:ascii="Times New Roman" w:hAnsi="Times New Roman" w:cs="Times New Roman"/>
          <w:b/>
          <w:sz w:val="32"/>
          <w:szCs w:val="32"/>
          <w:u w:val="single"/>
        </w:rPr>
        <w:t>1063</w:t>
      </w:r>
      <w:r w:rsidRPr="000D48AC">
        <w:rPr>
          <w:rFonts w:ascii="Times New Roman" w:hAnsi="Times New Roman" w:cs="Times New Roman"/>
          <w:b/>
          <w:sz w:val="32"/>
          <w:szCs w:val="32"/>
          <w:u w:val="single"/>
        </w:rPr>
        <w:t>:</w:t>
      </w:r>
    </w:p>
    <w:p w:rsidR="004A1659" w:rsidRPr="003E3E03" w:rsidRDefault="0077444A" w:rsidP="004A1659">
      <w:pPr>
        <w:pStyle w:val="Paragrafoelenco"/>
        <w:numPr>
          <w:ilvl w:val="0"/>
          <w:numId w:val="1"/>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 xml:space="preserve">elimina, sostanzialmente ogni </w:t>
      </w:r>
      <w:r w:rsidR="004A1659" w:rsidRPr="003E3E03">
        <w:rPr>
          <w:rFonts w:ascii="Times New Roman" w:hAnsi="Times New Roman" w:cs="Times New Roman"/>
          <w:sz w:val="32"/>
          <w:szCs w:val="32"/>
        </w:rPr>
        <w:t xml:space="preserve">diversità </w:t>
      </w:r>
      <w:r w:rsidRPr="003E3E03">
        <w:rPr>
          <w:rFonts w:ascii="Times New Roman" w:hAnsi="Times New Roman" w:cs="Times New Roman"/>
          <w:sz w:val="32"/>
          <w:szCs w:val="32"/>
        </w:rPr>
        <w:t xml:space="preserve"> fra </w:t>
      </w:r>
      <w:r w:rsidR="004A1659" w:rsidRPr="003E3E03">
        <w:rPr>
          <w:rFonts w:ascii="Times New Roman" w:hAnsi="Times New Roman" w:cs="Times New Roman"/>
          <w:sz w:val="32"/>
          <w:szCs w:val="32"/>
        </w:rPr>
        <w:t xml:space="preserve">valore punto per micropermanente </w:t>
      </w:r>
      <w:r w:rsidRPr="003E3E03">
        <w:rPr>
          <w:rFonts w:ascii="Times New Roman" w:hAnsi="Times New Roman" w:cs="Times New Roman"/>
          <w:sz w:val="32"/>
          <w:szCs w:val="32"/>
        </w:rPr>
        <w:t xml:space="preserve"> </w:t>
      </w:r>
      <w:r w:rsidR="004A1659" w:rsidRPr="003E3E03">
        <w:rPr>
          <w:rFonts w:ascii="Times New Roman" w:hAnsi="Times New Roman" w:cs="Times New Roman"/>
          <w:sz w:val="32"/>
          <w:szCs w:val="32"/>
        </w:rPr>
        <w:t>e valore per macropermanente, estendendo a tutte le lesioni derivanti da sinistri stradali l’applicazione della tabella Unica nazionale allegata all’art. 84bis Disp Att c.c.  finalizzata genericamente alla quantificazione del danno non patrimoniale derivante dalla lesione del diritto alla salute.;</w:t>
      </w:r>
    </w:p>
    <w:p w:rsidR="004A1659" w:rsidRPr="003E3E03" w:rsidRDefault="004A1659" w:rsidP="004A1659">
      <w:pPr>
        <w:pStyle w:val="Paragrafoelenco"/>
        <w:numPr>
          <w:ilvl w:val="0"/>
          <w:numId w:val="1"/>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i novellati artt. 138 e 139 CdA – che si differenziano solo in quanto il primo disciplina la liquidazione dell’invalidità temporanea ed il secondo quella permanente - affiderebbero poi al giudice il potere di personalizzazione fino al 50% in aumento o in diminuzione;</w:t>
      </w:r>
    </w:p>
    <w:p w:rsidR="00BE4109" w:rsidRPr="003E3E03" w:rsidRDefault="004A1659" w:rsidP="004A1659">
      <w:pPr>
        <w:pStyle w:val="Paragrafoelenco"/>
        <w:numPr>
          <w:ilvl w:val="0"/>
          <w:numId w:val="1"/>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 xml:space="preserve">la tabella unica nazionale riprende, sostanzialmente, la tabella del Tribunale di Milano escludendo la parte relativa alla personalizzazione: si parte dal </w:t>
      </w:r>
      <w:r w:rsidR="00406B4E">
        <w:rPr>
          <w:rFonts w:ascii="Times New Roman" w:hAnsi="Times New Roman" w:cs="Times New Roman"/>
          <w:sz w:val="32"/>
          <w:szCs w:val="32"/>
        </w:rPr>
        <w:t xml:space="preserve">c.d. </w:t>
      </w:r>
      <w:r w:rsidR="00BE4109" w:rsidRPr="003E3E03">
        <w:rPr>
          <w:rFonts w:ascii="Times New Roman" w:hAnsi="Times New Roman" w:cs="Times New Roman"/>
          <w:sz w:val="32"/>
          <w:szCs w:val="32"/>
        </w:rPr>
        <w:t>“</w:t>
      </w:r>
      <w:r w:rsidRPr="003E3E03">
        <w:rPr>
          <w:rFonts w:ascii="Times New Roman" w:hAnsi="Times New Roman" w:cs="Times New Roman"/>
          <w:sz w:val="32"/>
          <w:szCs w:val="32"/>
        </w:rPr>
        <w:t>punto pesante</w:t>
      </w:r>
      <w:r w:rsidR="00BE4109" w:rsidRPr="003E3E03">
        <w:rPr>
          <w:rFonts w:ascii="Times New Roman" w:hAnsi="Times New Roman" w:cs="Times New Roman"/>
          <w:sz w:val="32"/>
          <w:szCs w:val="32"/>
        </w:rPr>
        <w:t>”</w:t>
      </w:r>
      <w:r w:rsidRPr="003E3E03">
        <w:rPr>
          <w:rFonts w:ascii="Times New Roman" w:hAnsi="Times New Roman" w:cs="Times New Roman"/>
          <w:sz w:val="32"/>
          <w:szCs w:val="32"/>
        </w:rPr>
        <w:t xml:space="preserve"> e si affida al giudice l’aumento con </w:t>
      </w:r>
      <w:r w:rsidR="00BC61D4">
        <w:rPr>
          <w:rFonts w:ascii="Times New Roman" w:hAnsi="Times New Roman" w:cs="Times New Roman"/>
          <w:sz w:val="32"/>
          <w:szCs w:val="32"/>
        </w:rPr>
        <w:t xml:space="preserve">la </w:t>
      </w:r>
      <w:r w:rsidRPr="003E3E03">
        <w:rPr>
          <w:rFonts w:ascii="Times New Roman" w:hAnsi="Times New Roman" w:cs="Times New Roman"/>
          <w:sz w:val="32"/>
          <w:szCs w:val="32"/>
        </w:rPr>
        <w:t xml:space="preserve"> soglia sopra indicata</w:t>
      </w:r>
      <w:r w:rsidR="000D48AC" w:rsidRPr="003E3E03">
        <w:rPr>
          <w:rFonts w:ascii="Times New Roman" w:hAnsi="Times New Roman" w:cs="Times New Roman"/>
          <w:sz w:val="32"/>
          <w:szCs w:val="32"/>
        </w:rPr>
        <w:t xml:space="preserve">; </w:t>
      </w:r>
      <w:r w:rsidRPr="003E3E03">
        <w:rPr>
          <w:rFonts w:ascii="Times New Roman" w:hAnsi="Times New Roman" w:cs="Times New Roman"/>
          <w:sz w:val="32"/>
          <w:szCs w:val="32"/>
        </w:rPr>
        <w:t xml:space="preserve">  </w:t>
      </w:r>
    </w:p>
    <w:p w:rsidR="0077444A" w:rsidRPr="003E3E03" w:rsidRDefault="00BE4109" w:rsidP="004A1659">
      <w:pPr>
        <w:pStyle w:val="Paragrafoelenco"/>
        <w:numPr>
          <w:ilvl w:val="0"/>
          <w:numId w:val="1"/>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 xml:space="preserve">vengono  introdotti gli artt. 2059 bis e 2059  ter </w:t>
      </w:r>
      <w:r w:rsidR="00BC61D4">
        <w:rPr>
          <w:rFonts w:ascii="Times New Roman" w:hAnsi="Times New Roman" w:cs="Times New Roman"/>
          <w:sz w:val="32"/>
          <w:szCs w:val="32"/>
        </w:rPr>
        <w:t xml:space="preserve">c.c. </w:t>
      </w:r>
      <w:r w:rsidR="0077444A" w:rsidRPr="003E3E03">
        <w:rPr>
          <w:rFonts w:ascii="Times New Roman" w:hAnsi="Times New Roman" w:cs="Times New Roman"/>
          <w:sz w:val="32"/>
          <w:szCs w:val="32"/>
        </w:rPr>
        <w:t xml:space="preserve"> </w:t>
      </w:r>
      <w:r w:rsidR="000D48AC" w:rsidRPr="003E3E03">
        <w:rPr>
          <w:rFonts w:ascii="Times New Roman" w:hAnsi="Times New Roman" w:cs="Times New Roman"/>
          <w:sz w:val="32"/>
          <w:szCs w:val="32"/>
        </w:rPr>
        <w:t>individuando il danno non patrimoniale derivante dal diritto alla salute ed il danno patrimoniale derivante da lesione di altri diritti, con evidente riferimento ad ipotesi differenziate di danno</w:t>
      </w:r>
      <w:r w:rsidR="00406B4E">
        <w:rPr>
          <w:rFonts w:ascii="Times New Roman" w:hAnsi="Times New Roman" w:cs="Times New Roman"/>
          <w:sz w:val="32"/>
          <w:szCs w:val="32"/>
        </w:rPr>
        <w:t xml:space="preserve"> che lascerebbero pensare ad una possibile rivitalizzazione del danno esistenziale </w:t>
      </w:r>
      <w:r w:rsidR="000D48AC" w:rsidRPr="003E3E03">
        <w:rPr>
          <w:rFonts w:ascii="Times New Roman" w:hAnsi="Times New Roman" w:cs="Times New Roman"/>
          <w:sz w:val="32"/>
          <w:szCs w:val="32"/>
        </w:rPr>
        <w:t>;</w:t>
      </w:r>
    </w:p>
    <w:p w:rsidR="000D48AC" w:rsidRPr="003E3E03" w:rsidRDefault="000D48AC" w:rsidP="004A1659">
      <w:pPr>
        <w:pStyle w:val="Paragrafoelenco"/>
        <w:numPr>
          <w:ilvl w:val="0"/>
          <w:numId w:val="1"/>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si riconosce il danno tanatologico e cioè il risarcimento del danno non patrimoniale in caso di morte del soggetto danneggiato</w:t>
      </w:r>
      <w:r w:rsidR="00D90151">
        <w:rPr>
          <w:rFonts w:ascii="Times New Roman" w:hAnsi="Times New Roman" w:cs="Times New Roman"/>
          <w:sz w:val="32"/>
          <w:szCs w:val="32"/>
        </w:rPr>
        <w:t xml:space="preserve"> in favore dello stesso e quindi trasmissibile agli eredi</w:t>
      </w:r>
      <w:r w:rsidR="00BC61D4">
        <w:rPr>
          <w:rFonts w:ascii="Times New Roman" w:hAnsi="Times New Roman" w:cs="Times New Roman"/>
          <w:sz w:val="32"/>
          <w:szCs w:val="32"/>
        </w:rPr>
        <w:t>,</w:t>
      </w:r>
      <w:r w:rsidRPr="003E3E03">
        <w:rPr>
          <w:rFonts w:ascii="Times New Roman" w:hAnsi="Times New Roman" w:cs="Times New Roman"/>
          <w:sz w:val="32"/>
          <w:szCs w:val="32"/>
        </w:rPr>
        <w:t xml:space="preserve"> quantifica</w:t>
      </w:r>
      <w:r w:rsidR="00BC61D4">
        <w:rPr>
          <w:rFonts w:ascii="Times New Roman" w:hAnsi="Times New Roman" w:cs="Times New Roman"/>
          <w:sz w:val="32"/>
          <w:szCs w:val="32"/>
        </w:rPr>
        <w:t xml:space="preserve">ndolo </w:t>
      </w:r>
      <w:r w:rsidRPr="003E3E03">
        <w:rPr>
          <w:rFonts w:ascii="Times New Roman" w:hAnsi="Times New Roman" w:cs="Times New Roman"/>
          <w:sz w:val="32"/>
          <w:szCs w:val="32"/>
        </w:rPr>
        <w:t xml:space="preserve"> nella misura dell’80% del danno non patrimoniale indicato nella Tabella Unica Nazionale. </w:t>
      </w:r>
    </w:p>
    <w:p w:rsidR="00816821" w:rsidRDefault="000D48AC" w:rsidP="000D48AC">
      <w:pPr>
        <w:spacing w:after="0" w:line="240" w:lineRule="auto"/>
        <w:jc w:val="both"/>
        <w:rPr>
          <w:rFonts w:ascii="Times New Roman" w:hAnsi="Times New Roman" w:cs="Times New Roman"/>
          <w:sz w:val="32"/>
          <w:szCs w:val="32"/>
        </w:rPr>
      </w:pPr>
      <w:r w:rsidRPr="000D48AC">
        <w:rPr>
          <w:rFonts w:ascii="Times New Roman" w:hAnsi="Times New Roman" w:cs="Times New Roman"/>
          <w:sz w:val="32"/>
          <w:szCs w:val="32"/>
        </w:rPr>
        <w:t xml:space="preserve">Riservando  al seguito alcune osservazioni sul riconoscimento di tale ultima </w:t>
      </w:r>
      <w:r w:rsidR="00816821">
        <w:rPr>
          <w:rFonts w:ascii="Times New Roman" w:hAnsi="Times New Roman" w:cs="Times New Roman"/>
          <w:sz w:val="32"/>
          <w:szCs w:val="32"/>
        </w:rPr>
        <w:t xml:space="preserve">fattispecie </w:t>
      </w:r>
      <w:r w:rsidR="00BC61D4">
        <w:rPr>
          <w:rFonts w:ascii="Times New Roman" w:hAnsi="Times New Roman" w:cs="Times New Roman"/>
          <w:sz w:val="32"/>
          <w:szCs w:val="32"/>
        </w:rPr>
        <w:t xml:space="preserve">che </w:t>
      </w:r>
      <w:r w:rsidR="00816821">
        <w:rPr>
          <w:rFonts w:ascii="Times New Roman" w:hAnsi="Times New Roman" w:cs="Times New Roman"/>
          <w:sz w:val="32"/>
          <w:szCs w:val="32"/>
        </w:rPr>
        <w:t xml:space="preserve"> comporterebbe il superamento  dell’orientamento </w:t>
      </w:r>
      <w:r w:rsidR="00D90151">
        <w:rPr>
          <w:rFonts w:ascii="Times New Roman" w:hAnsi="Times New Roman" w:cs="Times New Roman"/>
          <w:sz w:val="32"/>
          <w:szCs w:val="32"/>
        </w:rPr>
        <w:t xml:space="preserve">cristallizzato da </w:t>
      </w:r>
      <w:r w:rsidR="00816821">
        <w:rPr>
          <w:rFonts w:ascii="Times New Roman" w:hAnsi="Times New Roman" w:cs="Times New Roman"/>
          <w:sz w:val="32"/>
          <w:szCs w:val="32"/>
        </w:rPr>
        <w:t xml:space="preserve"> Cass. SU 15350/2015</w:t>
      </w:r>
      <w:r w:rsidRPr="000D48AC">
        <w:rPr>
          <w:rFonts w:ascii="Times New Roman" w:hAnsi="Times New Roman" w:cs="Times New Roman"/>
          <w:sz w:val="32"/>
          <w:szCs w:val="32"/>
        </w:rPr>
        <w:t xml:space="preserve">, </w:t>
      </w:r>
      <w:r>
        <w:rPr>
          <w:rFonts w:ascii="Times New Roman" w:hAnsi="Times New Roman" w:cs="Times New Roman"/>
          <w:sz w:val="32"/>
          <w:szCs w:val="32"/>
        </w:rPr>
        <w:t>deve evidenziarsi come le novità sopra sintetizzate, da salutarsi con assoluto favore, sembrano</w:t>
      </w:r>
      <w:r w:rsidR="00816821">
        <w:rPr>
          <w:rFonts w:ascii="Times New Roman" w:hAnsi="Times New Roman" w:cs="Times New Roman"/>
          <w:sz w:val="32"/>
          <w:szCs w:val="32"/>
        </w:rPr>
        <w:t xml:space="preserve"> del tutto incompatibili con la strada tracciata dal </w:t>
      </w:r>
      <w:r w:rsidR="00816821" w:rsidRPr="003E3E03">
        <w:rPr>
          <w:rFonts w:ascii="Times New Roman" w:hAnsi="Times New Roman" w:cs="Times New Roman"/>
          <w:b/>
          <w:sz w:val="32"/>
          <w:szCs w:val="32"/>
        </w:rPr>
        <w:t xml:space="preserve">progetto di legge  annuale sul mercato e la concorrenza (A.C 3012 ) </w:t>
      </w:r>
      <w:r w:rsidR="00816821" w:rsidRPr="00816821">
        <w:rPr>
          <w:rFonts w:ascii="Times New Roman" w:hAnsi="Times New Roman" w:cs="Times New Roman"/>
          <w:sz w:val="32"/>
          <w:szCs w:val="32"/>
        </w:rPr>
        <w:t xml:space="preserve"> che oltre ad associare contenuti più conformi agli interessi delle compagnie assicurative sembra molto più vicina ( temporalmente ) al traguardo dell</w:t>
      </w:r>
      <w:r w:rsidR="00D90151">
        <w:rPr>
          <w:rFonts w:ascii="Times New Roman" w:hAnsi="Times New Roman" w:cs="Times New Roman"/>
          <w:sz w:val="32"/>
          <w:szCs w:val="32"/>
        </w:rPr>
        <w:t>a</w:t>
      </w:r>
      <w:r w:rsidR="00816821" w:rsidRPr="00816821">
        <w:rPr>
          <w:rFonts w:ascii="Times New Roman" w:hAnsi="Times New Roman" w:cs="Times New Roman"/>
          <w:sz w:val="32"/>
          <w:szCs w:val="32"/>
        </w:rPr>
        <w:t xml:space="preserve"> definitiva approvazione</w:t>
      </w:r>
      <w:r w:rsidR="00816821">
        <w:rPr>
          <w:rFonts w:ascii="Times New Roman" w:hAnsi="Times New Roman" w:cs="Times New Roman"/>
          <w:sz w:val="32"/>
          <w:szCs w:val="32"/>
        </w:rPr>
        <w:t>.</w:t>
      </w:r>
    </w:p>
    <w:p w:rsidR="003E3E03" w:rsidRDefault="003E3E03" w:rsidP="000D48AC">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In </w:t>
      </w:r>
      <w:r w:rsidR="00816821">
        <w:rPr>
          <w:rFonts w:ascii="Times New Roman" w:hAnsi="Times New Roman" w:cs="Times New Roman"/>
          <w:sz w:val="32"/>
          <w:szCs w:val="32"/>
        </w:rPr>
        <w:t>essa</w:t>
      </w:r>
      <w:r w:rsidR="00D90151">
        <w:rPr>
          <w:rFonts w:ascii="Times New Roman" w:hAnsi="Times New Roman" w:cs="Times New Roman"/>
          <w:sz w:val="32"/>
          <w:szCs w:val="32"/>
        </w:rPr>
        <w:t xml:space="preserve"> che modifica gli </w:t>
      </w:r>
      <w:proofErr w:type="spellStart"/>
      <w:r w:rsidR="00D90151">
        <w:rPr>
          <w:rFonts w:ascii="Times New Roman" w:hAnsi="Times New Roman" w:cs="Times New Roman"/>
          <w:sz w:val="32"/>
          <w:szCs w:val="32"/>
        </w:rPr>
        <w:t>artt</w:t>
      </w:r>
      <w:proofErr w:type="spellEnd"/>
      <w:r w:rsidR="00D90151">
        <w:rPr>
          <w:rFonts w:ascii="Times New Roman" w:hAnsi="Times New Roman" w:cs="Times New Roman"/>
          <w:sz w:val="32"/>
          <w:szCs w:val="32"/>
        </w:rPr>
        <w:t xml:space="preserve"> 138 e 139 </w:t>
      </w:r>
      <w:proofErr w:type="spellStart"/>
      <w:r w:rsidR="00D90151">
        <w:rPr>
          <w:rFonts w:ascii="Times New Roman" w:hAnsi="Times New Roman" w:cs="Times New Roman"/>
          <w:sz w:val="32"/>
          <w:szCs w:val="32"/>
        </w:rPr>
        <w:t>CdA</w:t>
      </w:r>
      <w:proofErr w:type="spellEnd"/>
      <w:r w:rsidR="00D90151">
        <w:rPr>
          <w:rFonts w:ascii="Times New Roman" w:hAnsi="Times New Roman" w:cs="Times New Roman"/>
          <w:sz w:val="32"/>
          <w:szCs w:val="32"/>
        </w:rPr>
        <w:t xml:space="preserve"> </w:t>
      </w:r>
      <w:r w:rsidR="00816821">
        <w:rPr>
          <w:rFonts w:ascii="Times New Roman" w:hAnsi="Times New Roman" w:cs="Times New Roman"/>
          <w:sz w:val="32"/>
          <w:szCs w:val="32"/>
        </w:rPr>
        <w:t xml:space="preserve"> </w:t>
      </w:r>
      <w:r>
        <w:rPr>
          <w:rFonts w:ascii="Times New Roman" w:hAnsi="Times New Roman" w:cs="Times New Roman"/>
          <w:sz w:val="32"/>
          <w:szCs w:val="32"/>
        </w:rPr>
        <w:t>:</w:t>
      </w:r>
    </w:p>
    <w:p w:rsidR="003E3E03" w:rsidRDefault="00BC61D4" w:rsidP="003E3E03">
      <w:pPr>
        <w:pStyle w:val="Paragrafoelenco"/>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viene </w:t>
      </w:r>
      <w:r w:rsidR="00816821" w:rsidRPr="003E3E03">
        <w:rPr>
          <w:rFonts w:ascii="Times New Roman" w:hAnsi="Times New Roman" w:cs="Times New Roman"/>
          <w:sz w:val="32"/>
          <w:szCs w:val="32"/>
        </w:rPr>
        <w:t xml:space="preserve">mantenuta la </w:t>
      </w:r>
      <w:r w:rsidR="001F6F37" w:rsidRPr="003E3E03">
        <w:rPr>
          <w:rFonts w:ascii="Times New Roman" w:hAnsi="Times New Roman" w:cs="Times New Roman"/>
          <w:sz w:val="32"/>
          <w:szCs w:val="32"/>
        </w:rPr>
        <w:t xml:space="preserve">distinzione – </w:t>
      </w:r>
      <w:r w:rsidR="001F6F37" w:rsidRPr="005036F4">
        <w:rPr>
          <w:rFonts w:ascii="Times New Roman" w:hAnsi="Times New Roman" w:cs="Times New Roman"/>
          <w:sz w:val="32"/>
          <w:szCs w:val="32"/>
          <w:u w:val="single"/>
        </w:rPr>
        <w:t>accompagnata da tabelle separate</w:t>
      </w:r>
      <w:r w:rsidR="001F6F37" w:rsidRPr="003E3E03">
        <w:rPr>
          <w:rFonts w:ascii="Times New Roman" w:hAnsi="Times New Roman" w:cs="Times New Roman"/>
          <w:sz w:val="32"/>
          <w:szCs w:val="32"/>
        </w:rPr>
        <w:t xml:space="preserve"> -  </w:t>
      </w:r>
      <w:r w:rsidR="00816821" w:rsidRPr="003E3E03">
        <w:rPr>
          <w:rFonts w:ascii="Times New Roman" w:hAnsi="Times New Roman" w:cs="Times New Roman"/>
          <w:sz w:val="32"/>
          <w:szCs w:val="32"/>
        </w:rPr>
        <w:t xml:space="preserve"> fra il danno per lesioni macroperm</w:t>
      </w:r>
      <w:r w:rsidR="001F6F37" w:rsidRPr="003E3E03">
        <w:rPr>
          <w:rFonts w:ascii="Times New Roman" w:hAnsi="Times New Roman" w:cs="Times New Roman"/>
          <w:sz w:val="32"/>
          <w:szCs w:val="32"/>
        </w:rPr>
        <w:t>a</w:t>
      </w:r>
      <w:r w:rsidR="00816821" w:rsidRPr="003E3E03">
        <w:rPr>
          <w:rFonts w:ascii="Times New Roman" w:hAnsi="Times New Roman" w:cs="Times New Roman"/>
          <w:sz w:val="32"/>
          <w:szCs w:val="32"/>
        </w:rPr>
        <w:t>ne</w:t>
      </w:r>
      <w:r w:rsidR="001F6F37" w:rsidRPr="003E3E03">
        <w:rPr>
          <w:rFonts w:ascii="Times New Roman" w:hAnsi="Times New Roman" w:cs="Times New Roman"/>
          <w:sz w:val="32"/>
          <w:szCs w:val="32"/>
        </w:rPr>
        <w:t xml:space="preserve">nti </w:t>
      </w:r>
      <w:r w:rsidR="00816821" w:rsidRPr="003E3E03">
        <w:rPr>
          <w:rFonts w:ascii="Times New Roman" w:hAnsi="Times New Roman" w:cs="Times New Roman"/>
          <w:sz w:val="32"/>
          <w:szCs w:val="32"/>
        </w:rPr>
        <w:t xml:space="preserve"> e quello per lesioni micropermanenti </w:t>
      </w:r>
      <w:r w:rsidR="001F6F37" w:rsidRPr="003E3E03">
        <w:rPr>
          <w:rFonts w:ascii="Times New Roman" w:hAnsi="Times New Roman" w:cs="Times New Roman"/>
          <w:sz w:val="32"/>
          <w:szCs w:val="32"/>
        </w:rPr>
        <w:t>;</w:t>
      </w:r>
    </w:p>
    <w:p w:rsidR="003E3E03" w:rsidRDefault="001F6F37" w:rsidP="003E3E03">
      <w:pPr>
        <w:pStyle w:val="Paragrafoelenco"/>
        <w:numPr>
          <w:ilvl w:val="0"/>
          <w:numId w:val="2"/>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 xml:space="preserve">l’indennità temporanea per le </w:t>
      </w:r>
      <w:proofErr w:type="spellStart"/>
      <w:r w:rsidRPr="003E3E03">
        <w:rPr>
          <w:rFonts w:ascii="Times New Roman" w:hAnsi="Times New Roman" w:cs="Times New Roman"/>
          <w:sz w:val="32"/>
          <w:szCs w:val="32"/>
        </w:rPr>
        <w:t>micropermanenti</w:t>
      </w:r>
      <w:proofErr w:type="spellEnd"/>
      <w:r w:rsidRPr="003E3E03">
        <w:rPr>
          <w:rFonts w:ascii="Times New Roman" w:hAnsi="Times New Roman" w:cs="Times New Roman"/>
          <w:sz w:val="32"/>
          <w:szCs w:val="32"/>
        </w:rPr>
        <w:t xml:space="preserve"> viene </w:t>
      </w:r>
      <w:r w:rsidR="00D90151">
        <w:rPr>
          <w:rFonts w:ascii="Times New Roman" w:hAnsi="Times New Roman" w:cs="Times New Roman"/>
          <w:sz w:val="32"/>
          <w:szCs w:val="32"/>
        </w:rPr>
        <w:t xml:space="preserve">ridotta; </w:t>
      </w:r>
    </w:p>
    <w:p w:rsidR="003E3E03" w:rsidRDefault="001F6F37" w:rsidP="003E3E03">
      <w:pPr>
        <w:pStyle w:val="Paragrafoelenco"/>
        <w:numPr>
          <w:ilvl w:val="0"/>
          <w:numId w:val="2"/>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 xml:space="preserve">si prevede,  per le macropermanenti , un aumento fino al 40% per altri aspetti del danno incidenti sulla vita dinamico relazionale del danneggiato che </w:t>
      </w:r>
      <w:r w:rsidRPr="00D90151">
        <w:rPr>
          <w:rFonts w:ascii="Times New Roman" w:hAnsi="Times New Roman" w:cs="Times New Roman"/>
          <w:sz w:val="32"/>
          <w:szCs w:val="32"/>
          <w:u w:val="single"/>
        </w:rPr>
        <w:t xml:space="preserve">la scheda di accompagnamento </w:t>
      </w:r>
      <w:r w:rsidR="005036F4" w:rsidRPr="00D90151">
        <w:rPr>
          <w:rFonts w:ascii="Times New Roman" w:hAnsi="Times New Roman" w:cs="Times New Roman"/>
          <w:sz w:val="32"/>
          <w:szCs w:val="32"/>
          <w:u w:val="single"/>
        </w:rPr>
        <w:t xml:space="preserve">predisposta </w:t>
      </w:r>
      <w:r w:rsidRPr="00D90151">
        <w:rPr>
          <w:rFonts w:ascii="Times New Roman" w:hAnsi="Times New Roman" w:cs="Times New Roman"/>
          <w:sz w:val="32"/>
          <w:szCs w:val="32"/>
          <w:u w:val="single"/>
        </w:rPr>
        <w:t xml:space="preserve"> dalla </w:t>
      </w:r>
      <w:r w:rsidR="005036F4" w:rsidRPr="00D90151">
        <w:rPr>
          <w:rFonts w:ascii="Times New Roman" w:hAnsi="Times New Roman" w:cs="Times New Roman"/>
          <w:sz w:val="32"/>
          <w:szCs w:val="32"/>
          <w:u w:val="single"/>
        </w:rPr>
        <w:t>C</w:t>
      </w:r>
      <w:r w:rsidRPr="00D90151">
        <w:rPr>
          <w:rFonts w:ascii="Times New Roman" w:hAnsi="Times New Roman" w:cs="Times New Roman"/>
          <w:sz w:val="32"/>
          <w:szCs w:val="32"/>
          <w:u w:val="single"/>
        </w:rPr>
        <w:t>amera descrive come</w:t>
      </w:r>
      <w:r w:rsidRPr="00D90151">
        <w:rPr>
          <w:rFonts w:ascii="Times New Roman" w:hAnsi="Times New Roman" w:cs="Times New Roman"/>
          <w:b/>
          <w:sz w:val="32"/>
          <w:szCs w:val="32"/>
          <w:u w:val="single"/>
        </w:rPr>
        <w:t xml:space="preserve"> </w:t>
      </w:r>
      <w:r w:rsidR="00D90151">
        <w:rPr>
          <w:rFonts w:ascii="Times New Roman" w:hAnsi="Times New Roman" w:cs="Times New Roman"/>
          <w:b/>
          <w:sz w:val="32"/>
          <w:szCs w:val="32"/>
          <w:u w:val="single"/>
        </w:rPr>
        <w:t xml:space="preserve">“ c.d. </w:t>
      </w:r>
      <w:r w:rsidRPr="00D90151">
        <w:rPr>
          <w:rFonts w:ascii="Times New Roman" w:hAnsi="Times New Roman" w:cs="Times New Roman"/>
          <w:b/>
          <w:sz w:val="32"/>
          <w:szCs w:val="32"/>
          <w:u w:val="single"/>
        </w:rPr>
        <w:t>danno esistenziale</w:t>
      </w:r>
      <w:r w:rsidR="00D90151">
        <w:rPr>
          <w:rFonts w:ascii="Times New Roman" w:hAnsi="Times New Roman" w:cs="Times New Roman"/>
          <w:b/>
          <w:sz w:val="32"/>
          <w:szCs w:val="32"/>
          <w:u w:val="single"/>
        </w:rPr>
        <w:t>”</w:t>
      </w:r>
      <w:r w:rsidRPr="003E3E03">
        <w:rPr>
          <w:rFonts w:ascii="Times New Roman" w:hAnsi="Times New Roman" w:cs="Times New Roman"/>
          <w:sz w:val="32"/>
          <w:szCs w:val="32"/>
        </w:rPr>
        <w:t>, voce che</w:t>
      </w:r>
      <w:r w:rsidR="005036F4">
        <w:rPr>
          <w:rFonts w:ascii="Times New Roman" w:hAnsi="Times New Roman" w:cs="Times New Roman"/>
          <w:sz w:val="32"/>
          <w:szCs w:val="32"/>
        </w:rPr>
        <w:t xml:space="preserve">, </w:t>
      </w:r>
      <w:r w:rsidRPr="003E3E03">
        <w:rPr>
          <w:rFonts w:ascii="Times New Roman" w:hAnsi="Times New Roman" w:cs="Times New Roman"/>
          <w:sz w:val="32"/>
          <w:szCs w:val="32"/>
        </w:rPr>
        <w:t xml:space="preserve">pertanto, anche in questo testo sembra essere  rivitalizzata; </w:t>
      </w:r>
    </w:p>
    <w:p w:rsidR="00816821" w:rsidRDefault="001F6F37" w:rsidP="003E3E03">
      <w:pPr>
        <w:pStyle w:val="Paragrafoelenco"/>
        <w:numPr>
          <w:ilvl w:val="0"/>
          <w:numId w:val="2"/>
        </w:numPr>
        <w:spacing w:after="0" w:line="240" w:lineRule="auto"/>
        <w:jc w:val="both"/>
        <w:rPr>
          <w:rFonts w:ascii="Times New Roman" w:hAnsi="Times New Roman" w:cs="Times New Roman"/>
          <w:sz w:val="32"/>
          <w:szCs w:val="32"/>
        </w:rPr>
      </w:pPr>
      <w:r w:rsidRPr="003E3E03">
        <w:rPr>
          <w:rFonts w:ascii="Times New Roman" w:hAnsi="Times New Roman" w:cs="Times New Roman"/>
          <w:sz w:val="32"/>
          <w:szCs w:val="32"/>
        </w:rPr>
        <w:t>per le micropermanenti gli altri aspetti “morali” consentono, come nell’attualità, un aumento non superiore al 20%.</w:t>
      </w:r>
    </w:p>
    <w:p w:rsidR="005036F4" w:rsidRDefault="003E3E03" w:rsidP="003E3E0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I due progetti di modifica sembrano tarati su differenti obiettivi </w:t>
      </w:r>
      <w:r w:rsidR="005036F4">
        <w:rPr>
          <w:rFonts w:ascii="Times New Roman" w:hAnsi="Times New Roman" w:cs="Times New Roman"/>
          <w:sz w:val="32"/>
          <w:szCs w:val="32"/>
        </w:rPr>
        <w:t xml:space="preserve">: è auspicabile </w:t>
      </w:r>
      <w:r>
        <w:rPr>
          <w:rFonts w:ascii="Times New Roman" w:hAnsi="Times New Roman" w:cs="Times New Roman"/>
          <w:sz w:val="32"/>
          <w:szCs w:val="32"/>
        </w:rPr>
        <w:t>che il risultato finale non scarichi, ancora una volta, sul giudice  difficili ed insormontabili contrasti interpretativi che ne rend</w:t>
      </w:r>
      <w:r w:rsidR="00D90151">
        <w:rPr>
          <w:rFonts w:ascii="Times New Roman" w:hAnsi="Times New Roman" w:cs="Times New Roman"/>
          <w:sz w:val="32"/>
          <w:szCs w:val="32"/>
        </w:rPr>
        <w:t>a</w:t>
      </w:r>
      <w:r>
        <w:rPr>
          <w:rFonts w:ascii="Times New Roman" w:hAnsi="Times New Roman" w:cs="Times New Roman"/>
          <w:sz w:val="32"/>
          <w:szCs w:val="32"/>
        </w:rPr>
        <w:t xml:space="preserve">no il compito sempre più arduo. </w:t>
      </w:r>
    </w:p>
    <w:p w:rsidR="003E3E03" w:rsidRPr="003E3E03" w:rsidRDefault="003E3E03" w:rsidP="003E3E0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Deve al riguardo segnalarsi che </w:t>
      </w:r>
      <w:r w:rsidRPr="005036F4">
        <w:rPr>
          <w:rFonts w:ascii="Times New Roman" w:hAnsi="Times New Roman" w:cs="Times New Roman"/>
          <w:b/>
          <w:sz w:val="32"/>
          <w:szCs w:val="32"/>
        </w:rPr>
        <w:t>l’aumento di competenza della magistratura onoraria</w:t>
      </w:r>
      <w:r>
        <w:rPr>
          <w:rFonts w:ascii="Times New Roman" w:hAnsi="Times New Roman" w:cs="Times New Roman"/>
          <w:sz w:val="32"/>
          <w:szCs w:val="32"/>
        </w:rPr>
        <w:t xml:space="preserve"> , coniato attraverso la legge delega n° 57/2016, affiderà ai GOP le controversie per sinistri stradali di valore sino ad € 50.000,00,</w:t>
      </w:r>
      <w:r w:rsidR="004C5785">
        <w:rPr>
          <w:rFonts w:ascii="Times New Roman" w:hAnsi="Times New Roman" w:cs="Times New Roman"/>
          <w:sz w:val="32"/>
          <w:szCs w:val="32"/>
        </w:rPr>
        <w:t xml:space="preserve"> </w:t>
      </w:r>
      <w:r>
        <w:rPr>
          <w:rFonts w:ascii="Times New Roman" w:hAnsi="Times New Roman" w:cs="Times New Roman"/>
          <w:sz w:val="32"/>
          <w:szCs w:val="32"/>
        </w:rPr>
        <w:t>ricomprendendo, con ciò</w:t>
      </w:r>
      <w:r w:rsidR="005036F4">
        <w:rPr>
          <w:rFonts w:ascii="Times New Roman" w:hAnsi="Times New Roman" w:cs="Times New Roman"/>
          <w:sz w:val="32"/>
          <w:szCs w:val="32"/>
        </w:rPr>
        <w:t>,</w:t>
      </w:r>
      <w:r>
        <w:rPr>
          <w:rFonts w:ascii="Times New Roman" w:hAnsi="Times New Roman" w:cs="Times New Roman"/>
          <w:sz w:val="32"/>
          <w:szCs w:val="32"/>
        </w:rPr>
        <w:t xml:space="preserve"> una discreta parte di</w:t>
      </w:r>
      <w:r w:rsidR="005036F4">
        <w:rPr>
          <w:rFonts w:ascii="Times New Roman" w:hAnsi="Times New Roman" w:cs="Times New Roman"/>
          <w:sz w:val="32"/>
          <w:szCs w:val="32"/>
        </w:rPr>
        <w:t xml:space="preserve"> controversie per </w:t>
      </w:r>
      <w:r>
        <w:rPr>
          <w:rFonts w:ascii="Times New Roman" w:hAnsi="Times New Roman" w:cs="Times New Roman"/>
          <w:sz w:val="32"/>
          <w:szCs w:val="32"/>
        </w:rPr>
        <w:t xml:space="preserve"> lesioni macropermanenti</w:t>
      </w:r>
      <w:r w:rsidR="004C5785">
        <w:rPr>
          <w:rFonts w:ascii="Times New Roman" w:hAnsi="Times New Roman" w:cs="Times New Roman"/>
          <w:sz w:val="32"/>
          <w:szCs w:val="32"/>
        </w:rPr>
        <w:t>, e competenze</w:t>
      </w:r>
      <w:r w:rsidR="005036F4">
        <w:rPr>
          <w:rFonts w:ascii="Times New Roman" w:hAnsi="Times New Roman" w:cs="Times New Roman"/>
          <w:sz w:val="32"/>
          <w:szCs w:val="32"/>
        </w:rPr>
        <w:t xml:space="preserve">, per il resto, </w:t>
      </w:r>
      <w:r w:rsidR="004C5785">
        <w:rPr>
          <w:rFonts w:ascii="Times New Roman" w:hAnsi="Times New Roman" w:cs="Times New Roman"/>
          <w:sz w:val="32"/>
          <w:szCs w:val="32"/>
        </w:rPr>
        <w:t xml:space="preserve"> fino ad un valore di € 30.000,00</w:t>
      </w:r>
      <w:r>
        <w:rPr>
          <w:rFonts w:ascii="Times New Roman" w:hAnsi="Times New Roman" w:cs="Times New Roman"/>
          <w:sz w:val="32"/>
          <w:szCs w:val="32"/>
        </w:rPr>
        <w:t xml:space="preserve">: </w:t>
      </w:r>
      <w:r w:rsidR="004C5785">
        <w:rPr>
          <w:rFonts w:ascii="Times New Roman" w:hAnsi="Times New Roman" w:cs="Times New Roman"/>
          <w:sz w:val="32"/>
          <w:szCs w:val="32"/>
        </w:rPr>
        <w:t xml:space="preserve">ciò imporrà che alla riforma si accompagni un grande impegno </w:t>
      </w:r>
      <w:r w:rsidR="005036F4">
        <w:rPr>
          <w:rFonts w:ascii="Times New Roman" w:hAnsi="Times New Roman" w:cs="Times New Roman"/>
          <w:sz w:val="32"/>
          <w:szCs w:val="32"/>
        </w:rPr>
        <w:t xml:space="preserve">per </w:t>
      </w:r>
      <w:r w:rsidR="004C5785">
        <w:rPr>
          <w:rFonts w:ascii="Times New Roman" w:hAnsi="Times New Roman" w:cs="Times New Roman"/>
          <w:sz w:val="32"/>
          <w:szCs w:val="32"/>
        </w:rPr>
        <w:t xml:space="preserve"> una formazione professionale </w:t>
      </w:r>
      <w:r w:rsidR="005036F4">
        <w:rPr>
          <w:rFonts w:ascii="Times New Roman" w:hAnsi="Times New Roman" w:cs="Times New Roman"/>
          <w:sz w:val="32"/>
          <w:szCs w:val="32"/>
        </w:rPr>
        <w:t xml:space="preserve">della magistratura onoraria </w:t>
      </w:r>
      <w:r w:rsidR="004C5785">
        <w:rPr>
          <w:rFonts w:ascii="Times New Roman" w:hAnsi="Times New Roman" w:cs="Times New Roman"/>
          <w:sz w:val="32"/>
          <w:szCs w:val="32"/>
        </w:rPr>
        <w:t xml:space="preserve">comune </w:t>
      </w:r>
      <w:r w:rsidR="005036F4">
        <w:rPr>
          <w:rFonts w:ascii="Times New Roman" w:hAnsi="Times New Roman" w:cs="Times New Roman"/>
          <w:sz w:val="32"/>
          <w:szCs w:val="32"/>
        </w:rPr>
        <w:t xml:space="preserve">ed allineata </w:t>
      </w:r>
      <w:r w:rsidR="004C5785">
        <w:rPr>
          <w:rFonts w:ascii="Times New Roman" w:hAnsi="Times New Roman" w:cs="Times New Roman"/>
          <w:sz w:val="32"/>
          <w:szCs w:val="32"/>
        </w:rPr>
        <w:t>a quella della magistratura togata, al fine di evitare un aumento dei giudizi d’appello e, conseguentemente, un allungamento dei tempi di tutela.</w:t>
      </w:r>
    </w:p>
    <w:p w:rsidR="001F6F37" w:rsidRDefault="001F6F37" w:rsidP="000D48AC">
      <w:pPr>
        <w:spacing w:after="0" w:line="240" w:lineRule="auto"/>
        <w:jc w:val="both"/>
        <w:rPr>
          <w:rFonts w:ascii="Times New Roman" w:hAnsi="Times New Roman" w:cs="Times New Roman"/>
          <w:sz w:val="32"/>
          <w:szCs w:val="32"/>
        </w:rPr>
      </w:pPr>
    </w:p>
    <w:p w:rsidR="00816821" w:rsidRDefault="003E3E03" w:rsidP="000D48AC">
      <w:pPr>
        <w:spacing w:after="0" w:line="240" w:lineRule="auto"/>
        <w:jc w:val="both"/>
        <w:rPr>
          <w:rFonts w:ascii="Times New Roman" w:hAnsi="Times New Roman" w:cs="Times New Roman"/>
          <w:b/>
          <w:sz w:val="32"/>
          <w:szCs w:val="32"/>
          <w:u w:val="single"/>
        </w:rPr>
      </w:pPr>
      <w:r w:rsidRPr="003E3E03">
        <w:rPr>
          <w:rFonts w:ascii="Times New Roman" w:hAnsi="Times New Roman" w:cs="Times New Roman"/>
          <w:b/>
          <w:sz w:val="32"/>
          <w:szCs w:val="32"/>
          <w:u w:val="single"/>
        </w:rPr>
        <w:t xml:space="preserve">Il danno esistenziale </w:t>
      </w:r>
    </w:p>
    <w:p w:rsidR="003E3E03" w:rsidRPr="003E3E03" w:rsidRDefault="003E3E03" w:rsidP="000D48AC">
      <w:pPr>
        <w:spacing w:after="0" w:line="240" w:lineRule="auto"/>
        <w:jc w:val="both"/>
        <w:rPr>
          <w:rFonts w:ascii="Times New Roman" w:hAnsi="Times New Roman" w:cs="Times New Roman"/>
          <w:b/>
          <w:sz w:val="32"/>
          <w:szCs w:val="32"/>
          <w:u w:val="single"/>
        </w:rPr>
      </w:pPr>
    </w:p>
    <w:p w:rsidR="003E3E03" w:rsidRPr="00536138" w:rsidRDefault="004C5785" w:rsidP="003E3E0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Le questioni riguardanti il  danno esistenziale, che sembra riaffacciarsi  nel nostro sistema giuridico attraverso le previsioni dei due testi normativi sopra esaminati,  sono riemerse </w:t>
      </w:r>
      <w:r w:rsidR="003E3E03" w:rsidRPr="00536138">
        <w:rPr>
          <w:rFonts w:ascii="Times New Roman" w:hAnsi="Times New Roman" w:cs="Times New Roman"/>
          <w:sz w:val="32"/>
          <w:szCs w:val="32"/>
        </w:rPr>
        <w:t xml:space="preserve"> con forza nel corso degli incontri del gruppo</w:t>
      </w:r>
      <w:r>
        <w:rPr>
          <w:rFonts w:ascii="Times New Roman" w:hAnsi="Times New Roman" w:cs="Times New Roman"/>
          <w:sz w:val="32"/>
          <w:szCs w:val="32"/>
        </w:rPr>
        <w:t xml:space="preserve"> di lavoro.</w:t>
      </w:r>
      <w:r w:rsidR="003E3E03" w:rsidRPr="00536138">
        <w:rPr>
          <w:rFonts w:ascii="Times New Roman" w:hAnsi="Times New Roman" w:cs="Times New Roman"/>
          <w:sz w:val="32"/>
          <w:szCs w:val="32"/>
        </w:rPr>
        <w:t xml:space="preserve"> </w:t>
      </w:r>
    </w:p>
    <w:p w:rsidR="003E3E03" w:rsidRDefault="003E3E03" w:rsidP="003E3E03">
      <w:pPr>
        <w:tabs>
          <w:tab w:val="left" w:pos="9638"/>
        </w:tabs>
        <w:spacing w:after="0" w:line="240" w:lineRule="auto"/>
        <w:jc w:val="both"/>
        <w:rPr>
          <w:rFonts w:ascii="Times New Roman" w:hAnsi="Times New Roman" w:cs="Times New Roman"/>
          <w:sz w:val="32"/>
          <w:szCs w:val="32"/>
        </w:rPr>
      </w:pPr>
      <w:r w:rsidRPr="00536138">
        <w:rPr>
          <w:rFonts w:ascii="Times New Roman" w:hAnsi="Times New Roman" w:cs="Times New Roman"/>
          <w:sz w:val="32"/>
          <w:szCs w:val="32"/>
        </w:rPr>
        <w:t>E’ stato infatti osservato che la  Suprem</w:t>
      </w:r>
      <w:r>
        <w:rPr>
          <w:rFonts w:ascii="Times New Roman" w:hAnsi="Times New Roman" w:cs="Times New Roman"/>
          <w:sz w:val="32"/>
          <w:szCs w:val="32"/>
        </w:rPr>
        <w:t xml:space="preserve">a Corte, di recente, ha ripreso </w:t>
      </w:r>
      <w:r w:rsidRPr="00536138">
        <w:rPr>
          <w:rFonts w:ascii="Times New Roman" w:hAnsi="Times New Roman" w:cs="Times New Roman"/>
          <w:sz w:val="32"/>
          <w:szCs w:val="32"/>
        </w:rPr>
        <w:t>l’orientamento relativo alle tre componenti del danno non patrimoniale (biologico, morale, esistenziale); così, la III Sezione Civile - con la sentenza del 3 ottobre 2013, n. 22585  ha posto in rilievo</w:t>
      </w:r>
      <w:r>
        <w:rPr>
          <w:rFonts w:ascii="Times New Roman" w:hAnsi="Times New Roman" w:cs="Times New Roman"/>
          <w:sz w:val="32"/>
          <w:szCs w:val="32"/>
        </w:rPr>
        <w:t xml:space="preserve"> che </w:t>
      </w:r>
      <w:r w:rsidRPr="00536138">
        <w:rPr>
          <w:rFonts w:ascii="Times New Roman" w:hAnsi="Times New Roman" w:cs="Times New Roman"/>
          <w:sz w:val="32"/>
          <w:szCs w:val="32"/>
        </w:rPr>
        <w:t>: “</w:t>
      </w:r>
      <w:r w:rsidRPr="00536138">
        <w:rPr>
          <w:rFonts w:ascii="Times New Roman" w:hAnsi="Times New Roman" w:cs="Times New Roman"/>
          <w:i/>
          <w:sz w:val="32"/>
          <w:szCs w:val="32"/>
        </w:rPr>
        <w:t xml:space="preserve">Il danno esistenziale è quel danno che, in caso di lesione del bene salute, si colloca e si dipana nella sfera dinamico relazionale del soggetto, come </w:t>
      </w:r>
      <w:r w:rsidRPr="00536138">
        <w:rPr>
          <w:rFonts w:ascii="Times New Roman" w:hAnsi="Times New Roman" w:cs="Times New Roman"/>
          <w:i/>
          <w:sz w:val="32"/>
          <w:szCs w:val="32"/>
        </w:rPr>
        <w:lastRenderedPageBreak/>
        <w:t>conseguenza sì ma autonoma della lesione medicalmente accertabile. Il Giudice del merito, dopo aver identificato l’indispensabile situazione soggettiva protetta a livello costituzionale e lesa dall’azione illecita, deve poi svolgere una rigorosa analisi e una conseguentemente vigorosa valutazione tanto dell’aspetto interiore del danno (sofferenza morale) quanto del suo impatto modificativo in peius con la vita quotidiana (il danno esistenziale).</w:t>
      </w:r>
      <w:r w:rsidRPr="00536138">
        <w:rPr>
          <w:rFonts w:ascii="Times New Roman" w:hAnsi="Times New Roman" w:cs="Times New Roman"/>
          <w:sz w:val="32"/>
          <w:szCs w:val="32"/>
        </w:rPr>
        <w:t xml:space="preserve">” Precedentemente lo stesso principio era stato affermato da Corte di Cass. - Sez. III Civ., sentenza n. 20292 del 20. 11. 2012; Cass.  - Sez. III Civ., </w:t>
      </w:r>
      <w:r>
        <w:rPr>
          <w:rFonts w:ascii="Times New Roman" w:hAnsi="Times New Roman" w:cs="Times New Roman"/>
          <w:sz w:val="32"/>
          <w:szCs w:val="32"/>
        </w:rPr>
        <w:t xml:space="preserve">sentenza n. 19402 del 22.8.2013 ). </w:t>
      </w:r>
    </w:p>
    <w:p w:rsidR="003E3E03" w:rsidRPr="008851D1" w:rsidRDefault="003E3E03" w:rsidP="003E3E03">
      <w:pPr>
        <w:tabs>
          <w:tab w:val="left" w:pos="9638"/>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In buona sostanza è stato chiarito che ( Cass. 18661/2015 ) </w:t>
      </w:r>
      <w:r w:rsidRPr="00310215">
        <w:rPr>
          <w:rFonts w:ascii="Garamond" w:hAnsi="Garamond"/>
          <w:sz w:val="28"/>
          <w:szCs w:val="28"/>
        </w:rPr>
        <w:t xml:space="preserve">  </w:t>
      </w:r>
      <w:r w:rsidRPr="008851D1">
        <w:rPr>
          <w:rFonts w:ascii="Times New Roman" w:hAnsi="Times New Roman" w:cs="Times New Roman"/>
          <w:sz w:val="32"/>
          <w:szCs w:val="32"/>
          <w:u w:val="single"/>
        </w:rPr>
        <w:t>il danno esistenziale ed il danno morale meritano una valutazione autonoma</w:t>
      </w:r>
      <w:r w:rsidRPr="008851D1">
        <w:rPr>
          <w:rFonts w:ascii="Times New Roman" w:hAnsi="Times New Roman" w:cs="Times New Roman"/>
          <w:sz w:val="32"/>
          <w:szCs w:val="32"/>
        </w:rPr>
        <w:t xml:space="preserve"> rispetto al danno biologico,  ribadendo l’incongruità di una mera valutazione tabellare ai fini del calcolo delle somme dovute a ristoro del pregiudizio subito dalla vittima. Infatti, nella complessiva liquidazione del  danno non  patrimoniale devono  essere considerati anche gli  </w:t>
      </w:r>
      <w:r w:rsidRPr="008851D1">
        <w:rPr>
          <w:rFonts w:ascii="Times New Roman" w:hAnsi="Times New Roman" w:cs="Times New Roman"/>
          <w:b/>
          <w:sz w:val="32"/>
          <w:szCs w:val="32"/>
        </w:rPr>
        <w:t>aspetti relazionali</w:t>
      </w:r>
      <w:r w:rsidRPr="008851D1">
        <w:rPr>
          <w:rFonts w:ascii="Times New Roman" w:hAnsi="Times New Roman" w:cs="Times New Roman"/>
          <w:sz w:val="32"/>
          <w:szCs w:val="32"/>
        </w:rPr>
        <w:t xml:space="preserve">  del  </w:t>
      </w:r>
      <w:r w:rsidRPr="008851D1">
        <w:rPr>
          <w:rFonts w:ascii="Times New Roman" w:hAnsi="Times New Roman" w:cs="Times New Roman"/>
          <w:i/>
          <w:sz w:val="32"/>
          <w:szCs w:val="32"/>
        </w:rPr>
        <w:t>vulnus</w:t>
      </w:r>
      <w:r w:rsidRPr="008851D1">
        <w:rPr>
          <w:rFonts w:ascii="Times New Roman" w:hAnsi="Times New Roman" w:cs="Times New Roman"/>
          <w:sz w:val="32"/>
          <w:szCs w:val="32"/>
        </w:rPr>
        <w:t xml:space="preserve"> arrecato alla sfera </w:t>
      </w:r>
      <w:r>
        <w:rPr>
          <w:rFonts w:ascii="Times New Roman" w:hAnsi="Times New Roman" w:cs="Times New Roman"/>
          <w:sz w:val="32"/>
          <w:szCs w:val="32"/>
        </w:rPr>
        <w:t>della persona</w:t>
      </w:r>
      <w:r w:rsidRPr="008851D1">
        <w:rPr>
          <w:rFonts w:ascii="Times New Roman" w:hAnsi="Times New Roman" w:cs="Times New Roman"/>
          <w:sz w:val="32"/>
          <w:szCs w:val="32"/>
        </w:rPr>
        <w:t xml:space="preserve">,  dovendosi  esaminare singolarmente le ripercussioni che l’evento  ha generato  nel rendere più  difficili  e complessi  i  modificati  modelli relazionali  con i suoi interlocutori  ( </w:t>
      </w:r>
      <w:r>
        <w:rPr>
          <w:rFonts w:ascii="Times New Roman" w:hAnsi="Times New Roman" w:cs="Times New Roman"/>
          <w:sz w:val="32"/>
          <w:szCs w:val="32"/>
        </w:rPr>
        <w:t>v. anche C</w:t>
      </w:r>
      <w:r w:rsidRPr="008851D1">
        <w:rPr>
          <w:rFonts w:ascii="Times New Roman" w:hAnsi="Times New Roman" w:cs="Times New Roman"/>
          <w:sz w:val="32"/>
          <w:szCs w:val="32"/>
        </w:rPr>
        <w:t>ass. 124/</w:t>
      </w:r>
      <w:r>
        <w:rPr>
          <w:rFonts w:ascii="Times New Roman" w:hAnsi="Times New Roman" w:cs="Times New Roman"/>
          <w:sz w:val="32"/>
          <w:szCs w:val="32"/>
        </w:rPr>
        <w:t>20</w:t>
      </w:r>
      <w:r w:rsidRPr="008851D1">
        <w:rPr>
          <w:rFonts w:ascii="Times New Roman" w:hAnsi="Times New Roman" w:cs="Times New Roman"/>
          <w:sz w:val="32"/>
          <w:szCs w:val="32"/>
        </w:rPr>
        <w:t xml:space="preserve">13 ).  </w:t>
      </w:r>
    </w:p>
    <w:p w:rsidR="004C5785" w:rsidRPr="004C5785" w:rsidRDefault="008470ED" w:rsidP="008470ED">
      <w:pPr>
        <w:spacing w:line="240" w:lineRule="auto"/>
        <w:jc w:val="both"/>
        <w:rPr>
          <w:rFonts w:ascii="Times New Roman" w:hAnsi="Times New Roman" w:cs="Times New Roman"/>
          <w:sz w:val="32"/>
          <w:szCs w:val="32"/>
        </w:rPr>
      </w:pPr>
      <w:r>
        <w:rPr>
          <w:rFonts w:ascii="Garamond" w:hAnsi="Garamond"/>
          <w:sz w:val="28"/>
          <w:szCs w:val="28"/>
        </w:rPr>
        <w:t>E</w:t>
      </w:r>
      <w:r w:rsidR="004C5785" w:rsidRPr="004C5785">
        <w:rPr>
          <w:rFonts w:ascii="Times New Roman" w:hAnsi="Times New Roman" w:cs="Times New Roman"/>
          <w:sz w:val="32"/>
          <w:szCs w:val="32"/>
        </w:rPr>
        <w:t xml:space="preserve">’ auspicabile che anche su tale versante </w:t>
      </w:r>
      <w:r>
        <w:rPr>
          <w:rFonts w:ascii="Times New Roman" w:hAnsi="Times New Roman" w:cs="Times New Roman"/>
          <w:sz w:val="32"/>
          <w:szCs w:val="32"/>
        </w:rPr>
        <w:t xml:space="preserve">le modifiche normative siano </w:t>
      </w:r>
      <w:r w:rsidR="004C5785" w:rsidRPr="004C5785">
        <w:rPr>
          <w:rFonts w:ascii="Times New Roman" w:hAnsi="Times New Roman" w:cs="Times New Roman"/>
          <w:sz w:val="32"/>
          <w:szCs w:val="32"/>
        </w:rPr>
        <w:t>coerenti e sufficientemente chiare</w:t>
      </w:r>
      <w:r w:rsidR="005036F4">
        <w:rPr>
          <w:rFonts w:ascii="Times New Roman" w:hAnsi="Times New Roman" w:cs="Times New Roman"/>
          <w:sz w:val="32"/>
          <w:szCs w:val="32"/>
        </w:rPr>
        <w:t>.</w:t>
      </w:r>
      <w:r w:rsidR="004C5785" w:rsidRPr="004C5785">
        <w:rPr>
          <w:rFonts w:ascii="Times New Roman" w:hAnsi="Times New Roman" w:cs="Times New Roman"/>
          <w:sz w:val="32"/>
          <w:szCs w:val="32"/>
        </w:rPr>
        <w:t xml:space="preserve"> </w:t>
      </w:r>
    </w:p>
    <w:p w:rsidR="000D48AC" w:rsidRPr="00816821" w:rsidRDefault="00816821" w:rsidP="000D48AC">
      <w:pPr>
        <w:spacing w:after="0" w:line="240" w:lineRule="auto"/>
        <w:jc w:val="both"/>
        <w:rPr>
          <w:rFonts w:ascii="Times New Roman" w:hAnsi="Times New Roman" w:cs="Times New Roman"/>
          <w:sz w:val="32"/>
          <w:szCs w:val="32"/>
          <w:u w:val="single"/>
        </w:rPr>
      </w:pPr>
      <w:r>
        <w:rPr>
          <w:rFonts w:ascii="Times New Roman" w:hAnsi="Times New Roman" w:cs="Times New Roman"/>
          <w:sz w:val="32"/>
          <w:szCs w:val="32"/>
          <w:u w:val="single"/>
        </w:rPr>
        <w:t xml:space="preserve"> </w:t>
      </w:r>
    </w:p>
    <w:p w:rsidR="00097656" w:rsidRPr="005036F4" w:rsidRDefault="00365C51" w:rsidP="00097656">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IL DANNO DA MORTE</w:t>
      </w:r>
    </w:p>
    <w:p w:rsidR="00CB7687" w:rsidRDefault="00CB7687" w:rsidP="002A0D90">
      <w:pPr>
        <w:spacing w:after="0" w:line="240" w:lineRule="auto"/>
        <w:jc w:val="both"/>
        <w:rPr>
          <w:rFonts w:ascii="Times New Roman" w:hAnsi="Times New Roman" w:cs="Times New Roman"/>
          <w:b/>
          <w:sz w:val="32"/>
          <w:szCs w:val="32"/>
        </w:rPr>
      </w:pPr>
    </w:p>
    <w:p w:rsidR="00365C51" w:rsidRDefault="00365C51" w:rsidP="002A0D90">
      <w:pPr>
        <w:spacing w:after="0" w:line="240" w:lineRule="auto"/>
        <w:jc w:val="both"/>
        <w:rPr>
          <w:rFonts w:ascii="Times New Roman" w:hAnsi="Times New Roman" w:cs="Times New Roman"/>
          <w:sz w:val="32"/>
          <w:szCs w:val="32"/>
        </w:rPr>
      </w:pPr>
    </w:p>
    <w:p w:rsidR="005036F4" w:rsidRDefault="005036F4" w:rsidP="002A0D90">
      <w:pPr>
        <w:spacing w:after="0" w:line="240" w:lineRule="auto"/>
        <w:jc w:val="both"/>
        <w:rPr>
          <w:rFonts w:ascii="Times New Roman" w:hAnsi="Times New Roman" w:cs="Times New Roman"/>
          <w:b/>
          <w:sz w:val="32"/>
          <w:szCs w:val="32"/>
        </w:rPr>
      </w:pPr>
      <w:r w:rsidRPr="005036F4">
        <w:rPr>
          <w:rFonts w:ascii="Times New Roman" w:hAnsi="Times New Roman" w:cs="Times New Roman"/>
          <w:sz w:val="32"/>
          <w:szCs w:val="32"/>
        </w:rPr>
        <w:t xml:space="preserve">Pur </w:t>
      </w:r>
      <w:r w:rsidR="00EE23F6">
        <w:rPr>
          <w:rFonts w:ascii="Times New Roman" w:hAnsi="Times New Roman" w:cs="Times New Roman"/>
          <w:sz w:val="32"/>
          <w:szCs w:val="32"/>
        </w:rPr>
        <w:t xml:space="preserve">sperando </w:t>
      </w:r>
      <w:r w:rsidRPr="005036F4">
        <w:rPr>
          <w:rFonts w:ascii="Times New Roman" w:hAnsi="Times New Roman" w:cs="Times New Roman"/>
          <w:sz w:val="32"/>
          <w:szCs w:val="32"/>
        </w:rPr>
        <w:t xml:space="preserve"> che la soluzione resa dall’arresto delle Sezioni Unite del 2015 non rappresenti per l’interprete un momento di chiusura ma </w:t>
      </w:r>
      <w:r w:rsidR="00D90151">
        <w:rPr>
          <w:rFonts w:ascii="Times New Roman" w:hAnsi="Times New Roman" w:cs="Times New Roman"/>
          <w:sz w:val="32"/>
          <w:szCs w:val="32"/>
        </w:rPr>
        <w:t xml:space="preserve">solo </w:t>
      </w:r>
      <w:r w:rsidRPr="005036F4">
        <w:rPr>
          <w:rFonts w:ascii="Times New Roman" w:hAnsi="Times New Roman" w:cs="Times New Roman"/>
          <w:sz w:val="32"/>
          <w:szCs w:val="32"/>
        </w:rPr>
        <w:t xml:space="preserve">la presa d’atto della impossibilità, sulla base del nostro impianto sistematico, di trovare </w:t>
      </w:r>
      <w:r w:rsidR="00D90151">
        <w:rPr>
          <w:rFonts w:ascii="Times New Roman" w:hAnsi="Times New Roman" w:cs="Times New Roman"/>
          <w:sz w:val="32"/>
          <w:szCs w:val="32"/>
        </w:rPr>
        <w:t xml:space="preserve">attualmente </w:t>
      </w:r>
      <w:r w:rsidRPr="005036F4">
        <w:rPr>
          <w:rFonts w:ascii="Times New Roman" w:hAnsi="Times New Roman" w:cs="Times New Roman"/>
          <w:sz w:val="32"/>
          <w:szCs w:val="32"/>
        </w:rPr>
        <w:t>soluzioni</w:t>
      </w:r>
      <w:r w:rsidR="00D90151">
        <w:rPr>
          <w:rFonts w:ascii="Times New Roman" w:hAnsi="Times New Roman" w:cs="Times New Roman"/>
          <w:sz w:val="32"/>
          <w:szCs w:val="32"/>
        </w:rPr>
        <w:t xml:space="preserve"> </w:t>
      </w:r>
      <w:r w:rsidRPr="005036F4">
        <w:rPr>
          <w:rFonts w:ascii="Times New Roman" w:hAnsi="Times New Roman" w:cs="Times New Roman"/>
          <w:sz w:val="32"/>
          <w:szCs w:val="32"/>
        </w:rPr>
        <w:t>diverse</w:t>
      </w:r>
      <w:r w:rsidR="00D90151">
        <w:rPr>
          <w:rFonts w:ascii="Times New Roman" w:hAnsi="Times New Roman" w:cs="Times New Roman"/>
          <w:sz w:val="32"/>
          <w:szCs w:val="32"/>
        </w:rPr>
        <w:t xml:space="preserve"> senza pregiudicare future evoluzioni interpretative</w:t>
      </w:r>
      <w:r>
        <w:rPr>
          <w:rFonts w:ascii="Times New Roman" w:hAnsi="Times New Roman" w:cs="Times New Roman"/>
          <w:b/>
          <w:sz w:val="32"/>
          <w:szCs w:val="32"/>
        </w:rPr>
        <w:t xml:space="preserve">, </w:t>
      </w:r>
      <w:r w:rsidRPr="005036F4">
        <w:rPr>
          <w:rFonts w:ascii="Times New Roman" w:hAnsi="Times New Roman" w:cs="Times New Roman"/>
          <w:sz w:val="32"/>
          <w:szCs w:val="32"/>
        </w:rPr>
        <w:t xml:space="preserve">la previsione contenuta nella proposta Bonafede di introdurre il riconoscimento del danno tanatologico è stata salutata con favore ma con </w:t>
      </w:r>
      <w:r w:rsidR="00444367">
        <w:rPr>
          <w:rFonts w:ascii="Times New Roman" w:hAnsi="Times New Roman" w:cs="Times New Roman"/>
          <w:sz w:val="32"/>
          <w:szCs w:val="32"/>
        </w:rPr>
        <w:t xml:space="preserve">una ragionevole </w:t>
      </w:r>
      <w:r w:rsidRPr="005036F4">
        <w:rPr>
          <w:rFonts w:ascii="Times New Roman" w:hAnsi="Times New Roman" w:cs="Times New Roman"/>
          <w:sz w:val="32"/>
          <w:szCs w:val="32"/>
        </w:rPr>
        <w:t xml:space="preserve"> prudenza.</w:t>
      </w:r>
      <w:r>
        <w:rPr>
          <w:rFonts w:ascii="Times New Roman" w:hAnsi="Times New Roman" w:cs="Times New Roman"/>
          <w:b/>
          <w:sz w:val="32"/>
          <w:szCs w:val="32"/>
        </w:rPr>
        <w:t xml:space="preserve">  </w:t>
      </w:r>
    </w:p>
    <w:p w:rsidR="00444367" w:rsidRPr="00AF2029" w:rsidRDefault="00444367" w:rsidP="002A0D90">
      <w:pPr>
        <w:spacing w:after="0" w:line="240" w:lineRule="auto"/>
        <w:jc w:val="both"/>
        <w:rPr>
          <w:rFonts w:ascii="Times New Roman" w:hAnsi="Times New Roman" w:cs="Times New Roman"/>
          <w:sz w:val="32"/>
          <w:szCs w:val="32"/>
        </w:rPr>
      </w:pPr>
      <w:r w:rsidRPr="00AF2029">
        <w:rPr>
          <w:rFonts w:ascii="Times New Roman" w:hAnsi="Times New Roman" w:cs="Times New Roman"/>
          <w:sz w:val="32"/>
          <w:szCs w:val="32"/>
        </w:rPr>
        <w:t xml:space="preserve">Ammesso che la proposta di legge continui ad essere portata avanti nonostante le </w:t>
      </w:r>
      <w:r w:rsidR="00D90151">
        <w:rPr>
          <w:rFonts w:ascii="Times New Roman" w:hAnsi="Times New Roman" w:cs="Times New Roman"/>
          <w:sz w:val="32"/>
          <w:szCs w:val="32"/>
        </w:rPr>
        <w:t xml:space="preserve">evidenti </w:t>
      </w:r>
      <w:r w:rsidRPr="00AF2029">
        <w:rPr>
          <w:rFonts w:ascii="Times New Roman" w:hAnsi="Times New Roman" w:cs="Times New Roman"/>
          <w:sz w:val="32"/>
          <w:szCs w:val="32"/>
        </w:rPr>
        <w:t>contraddizioni con il progetto di legge sul mercato e la concorrenza</w:t>
      </w:r>
      <w:r w:rsidR="00EE23F6">
        <w:rPr>
          <w:rFonts w:ascii="Times New Roman" w:hAnsi="Times New Roman" w:cs="Times New Roman"/>
          <w:sz w:val="32"/>
          <w:szCs w:val="32"/>
        </w:rPr>
        <w:t xml:space="preserve"> </w:t>
      </w:r>
      <w:r w:rsidR="00EE23F6" w:rsidRPr="00AF2029">
        <w:rPr>
          <w:rFonts w:ascii="Times New Roman" w:hAnsi="Times New Roman" w:cs="Times New Roman"/>
          <w:sz w:val="32"/>
          <w:szCs w:val="32"/>
        </w:rPr>
        <w:t>sopra evidenziate</w:t>
      </w:r>
      <w:r w:rsidR="00EE23F6">
        <w:rPr>
          <w:rFonts w:ascii="Times New Roman" w:hAnsi="Times New Roman" w:cs="Times New Roman"/>
          <w:sz w:val="32"/>
          <w:szCs w:val="32"/>
        </w:rPr>
        <w:t>,</w:t>
      </w:r>
      <w:r w:rsidRPr="00AF2029">
        <w:rPr>
          <w:rFonts w:ascii="Times New Roman" w:hAnsi="Times New Roman" w:cs="Times New Roman"/>
          <w:sz w:val="32"/>
          <w:szCs w:val="32"/>
        </w:rPr>
        <w:t xml:space="preserve"> e</w:t>
      </w:r>
      <w:r w:rsidR="005036F4" w:rsidRPr="00AF2029">
        <w:rPr>
          <w:rFonts w:ascii="Times New Roman" w:hAnsi="Times New Roman" w:cs="Times New Roman"/>
          <w:sz w:val="32"/>
          <w:szCs w:val="32"/>
        </w:rPr>
        <w:t xml:space="preserve">’ emersa la necessità  </w:t>
      </w:r>
      <w:r w:rsidR="00097656" w:rsidRPr="00AF2029">
        <w:rPr>
          <w:rFonts w:ascii="Times New Roman" w:hAnsi="Times New Roman" w:cs="Times New Roman"/>
          <w:sz w:val="32"/>
          <w:szCs w:val="32"/>
        </w:rPr>
        <w:t xml:space="preserve">di </w:t>
      </w:r>
      <w:r w:rsidRPr="00AF2029">
        <w:rPr>
          <w:rFonts w:ascii="Times New Roman" w:hAnsi="Times New Roman" w:cs="Times New Roman"/>
          <w:sz w:val="32"/>
          <w:szCs w:val="32"/>
        </w:rPr>
        <w:t xml:space="preserve">riflettere </w:t>
      </w:r>
      <w:r w:rsidR="00097656" w:rsidRPr="00AF2029">
        <w:rPr>
          <w:rFonts w:ascii="Times New Roman" w:hAnsi="Times New Roman" w:cs="Times New Roman"/>
          <w:sz w:val="32"/>
          <w:szCs w:val="32"/>
        </w:rPr>
        <w:t xml:space="preserve"> </w:t>
      </w:r>
      <w:r w:rsidRPr="00AF2029">
        <w:rPr>
          <w:rFonts w:ascii="Times New Roman" w:hAnsi="Times New Roman" w:cs="Times New Roman"/>
          <w:sz w:val="32"/>
          <w:szCs w:val="32"/>
        </w:rPr>
        <w:t xml:space="preserve">attentamente  </w:t>
      </w:r>
      <w:r w:rsidR="00097656" w:rsidRPr="00AF2029">
        <w:rPr>
          <w:rFonts w:ascii="Times New Roman" w:hAnsi="Times New Roman" w:cs="Times New Roman"/>
          <w:sz w:val="32"/>
          <w:szCs w:val="32"/>
        </w:rPr>
        <w:t xml:space="preserve">sulla opportunità di </w:t>
      </w:r>
      <w:r w:rsidRPr="00AF2029">
        <w:rPr>
          <w:rFonts w:ascii="Times New Roman" w:hAnsi="Times New Roman" w:cs="Times New Roman"/>
          <w:sz w:val="32"/>
          <w:szCs w:val="32"/>
        </w:rPr>
        <w:t>sovvertire i principi del sistema successorio con tutte le conseguenze che ne potrebbero derivare.</w:t>
      </w:r>
    </w:p>
    <w:p w:rsidR="00CB7687" w:rsidRPr="00AF2029" w:rsidRDefault="00444367" w:rsidP="002A0D90">
      <w:pPr>
        <w:spacing w:after="0" w:line="240" w:lineRule="auto"/>
        <w:jc w:val="both"/>
        <w:rPr>
          <w:rFonts w:ascii="Times New Roman" w:hAnsi="Times New Roman" w:cs="Times New Roman"/>
          <w:sz w:val="32"/>
          <w:szCs w:val="32"/>
        </w:rPr>
      </w:pPr>
      <w:r w:rsidRPr="00AF2029">
        <w:rPr>
          <w:rFonts w:ascii="Times New Roman" w:hAnsi="Times New Roman" w:cs="Times New Roman"/>
          <w:sz w:val="32"/>
          <w:szCs w:val="32"/>
        </w:rPr>
        <w:lastRenderedPageBreak/>
        <w:t>E’ più che mai necessario, in questo momento,</w:t>
      </w:r>
      <w:r w:rsidR="00097656" w:rsidRPr="00AF2029">
        <w:rPr>
          <w:rFonts w:ascii="Times New Roman" w:hAnsi="Times New Roman" w:cs="Times New Roman"/>
          <w:sz w:val="32"/>
          <w:szCs w:val="32"/>
        </w:rPr>
        <w:t xml:space="preserve"> evitare soluzioni normative che impongano un fatico</w:t>
      </w:r>
      <w:r w:rsidRPr="00AF2029">
        <w:rPr>
          <w:rFonts w:ascii="Times New Roman" w:hAnsi="Times New Roman" w:cs="Times New Roman"/>
          <w:sz w:val="32"/>
          <w:szCs w:val="32"/>
        </w:rPr>
        <w:t>so</w:t>
      </w:r>
      <w:r w:rsidR="00097656" w:rsidRPr="00AF2029">
        <w:rPr>
          <w:rFonts w:ascii="Times New Roman" w:hAnsi="Times New Roman" w:cs="Times New Roman"/>
          <w:sz w:val="32"/>
          <w:szCs w:val="32"/>
        </w:rPr>
        <w:t xml:space="preserve"> ed improduttivo  lavoro alla giurisprudenza</w:t>
      </w:r>
      <w:r w:rsidRPr="00AF2029">
        <w:rPr>
          <w:rFonts w:ascii="Times New Roman" w:hAnsi="Times New Roman" w:cs="Times New Roman"/>
          <w:sz w:val="32"/>
          <w:szCs w:val="32"/>
        </w:rPr>
        <w:t xml:space="preserve">, </w:t>
      </w:r>
      <w:r w:rsidR="00097656" w:rsidRPr="00AF2029">
        <w:rPr>
          <w:rFonts w:ascii="Times New Roman" w:hAnsi="Times New Roman" w:cs="Times New Roman"/>
          <w:sz w:val="32"/>
          <w:szCs w:val="32"/>
        </w:rPr>
        <w:t xml:space="preserve"> nell’ottica della effettività </w:t>
      </w:r>
      <w:r w:rsidRPr="00AF2029">
        <w:rPr>
          <w:rFonts w:ascii="Times New Roman" w:hAnsi="Times New Roman" w:cs="Times New Roman"/>
          <w:sz w:val="32"/>
          <w:szCs w:val="32"/>
        </w:rPr>
        <w:t xml:space="preserve">complessiva </w:t>
      </w:r>
      <w:r w:rsidR="00097656" w:rsidRPr="00AF2029">
        <w:rPr>
          <w:rFonts w:ascii="Times New Roman" w:hAnsi="Times New Roman" w:cs="Times New Roman"/>
          <w:sz w:val="32"/>
          <w:szCs w:val="32"/>
        </w:rPr>
        <w:t>delle tutele.</w:t>
      </w:r>
    </w:p>
    <w:p w:rsidR="00444367" w:rsidRPr="00AF2029" w:rsidRDefault="00D90151" w:rsidP="002A0D9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Al riguardo nei lavori del gruppo è stato segnalato  come appaia anomalo inserire, </w:t>
      </w:r>
      <w:r w:rsidR="00444367" w:rsidRPr="00AF2029">
        <w:rPr>
          <w:rFonts w:ascii="Times New Roman" w:hAnsi="Times New Roman" w:cs="Times New Roman"/>
          <w:sz w:val="32"/>
          <w:szCs w:val="32"/>
        </w:rPr>
        <w:t>nelle disposizioni di attuazione del codice civile</w:t>
      </w:r>
      <w:r w:rsidR="00EE23F6">
        <w:rPr>
          <w:rFonts w:ascii="Times New Roman" w:hAnsi="Times New Roman" w:cs="Times New Roman"/>
          <w:sz w:val="32"/>
          <w:szCs w:val="32"/>
        </w:rPr>
        <w:t>,</w:t>
      </w:r>
      <w:r w:rsidR="00444367" w:rsidRPr="00AF2029">
        <w:rPr>
          <w:rFonts w:ascii="Times New Roman" w:hAnsi="Times New Roman" w:cs="Times New Roman"/>
          <w:sz w:val="32"/>
          <w:szCs w:val="32"/>
        </w:rPr>
        <w:t xml:space="preserve"> il riconoscimento di una fattispecie tanto innovativa ed oggetto di polemiche interpretative.</w:t>
      </w:r>
    </w:p>
    <w:p w:rsidR="00444367" w:rsidRPr="00AF2029" w:rsidRDefault="00444367" w:rsidP="002A0D90">
      <w:pPr>
        <w:spacing w:after="0" w:line="240" w:lineRule="auto"/>
        <w:jc w:val="both"/>
        <w:rPr>
          <w:rFonts w:ascii="Times New Roman" w:hAnsi="Times New Roman" w:cs="Times New Roman"/>
          <w:sz w:val="32"/>
          <w:szCs w:val="32"/>
        </w:rPr>
      </w:pPr>
      <w:r w:rsidRPr="00AF2029">
        <w:rPr>
          <w:rFonts w:ascii="Times New Roman" w:hAnsi="Times New Roman" w:cs="Times New Roman"/>
          <w:sz w:val="32"/>
          <w:szCs w:val="32"/>
        </w:rPr>
        <w:t xml:space="preserve">Deve inoltre sottolinenarsi che nel panorama  europeo le uniche due isolate pronunce </w:t>
      </w:r>
      <w:r w:rsidR="00200F28">
        <w:rPr>
          <w:rFonts w:ascii="Times New Roman" w:hAnsi="Times New Roman" w:cs="Times New Roman"/>
          <w:sz w:val="32"/>
          <w:szCs w:val="32"/>
        </w:rPr>
        <w:t xml:space="preserve">che riconoscono la fattispecie </w:t>
      </w:r>
      <w:r w:rsidRPr="00AF2029">
        <w:rPr>
          <w:rFonts w:ascii="Times New Roman" w:hAnsi="Times New Roman" w:cs="Times New Roman"/>
          <w:sz w:val="32"/>
          <w:szCs w:val="32"/>
        </w:rPr>
        <w:t>provengono da un unico paese , e cioè dal Portogallo , dove la Suprema Corte</w:t>
      </w:r>
      <w:r w:rsidR="00200F28">
        <w:rPr>
          <w:rFonts w:ascii="Times New Roman" w:hAnsi="Times New Roman" w:cs="Times New Roman"/>
          <w:sz w:val="32"/>
          <w:szCs w:val="32"/>
        </w:rPr>
        <w:t xml:space="preserve"> prima nel 2002 e successivamente </w:t>
      </w:r>
      <w:r w:rsidRPr="00AF2029">
        <w:rPr>
          <w:rFonts w:ascii="Times New Roman" w:hAnsi="Times New Roman" w:cs="Times New Roman"/>
          <w:sz w:val="32"/>
          <w:szCs w:val="32"/>
        </w:rPr>
        <w:t xml:space="preserve">con sentenza 11.1.2007 ha riconosciuto il risarcimento del danno da morte riformando, solo sul quantum, la quantificazione del danno che il giudice di prima istanza aveva </w:t>
      </w:r>
      <w:r w:rsidR="00200F28">
        <w:rPr>
          <w:rFonts w:ascii="Times New Roman" w:hAnsi="Times New Roman" w:cs="Times New Roman"/>
          <w:sz w:val="32"/>
          <w:szCs w:val="32"/>
        </w:rPr>
        <w:t xml:space="preserve">già </w:t>
      </w:r>
      <w:r w:rsidRPr="00AF2029">
        <w:rPr>
          <w:rFonts w:ascii="Times New Roman" w:hAnsi="Times New Roman" w:cs="Times New Roman"/>
          <w:sz w:val="32"/>
          <w:szCs w:val="32"/>
        </w:rPr>
        <w:t xml:space="preserve">liquidato </w:t>
      </w:r>
      <w:r w:rsidR="00200F28">
        <w:rPr>
          <w:rFonts w:ascii="Times New Roman" w:hAnsi="Times New Roman" w:cs="Times New Roman"/>
          <w:sz w:val="32"/>
          <w:szCs w:val="32"/>
        </w:rPr>
        <w:t>con una somma ritenuta irrisoria.</w:t>
      </w:r>
    </w:p>
    <w:p w:rsidR="00097656" w:rsidRPr="00AF2029" w:rsidRDefault="00AF2029" w:rsidP="002A0D90">
      <w:pPr>
        <w:spacing w:after="0" w:line="240" w:lineRule="auto"/>
        <w:jc w:val="both"/>
        <w:rPr>
          <w:rFonts w:ascii="Times New Roman" w:hAnsi="Times New Roman" w:cs="Times New Roman"/>
          <w:sz w:val="32"/>
          <w:szCs w:val="32"/>
        </w:rPr>
      </w:pPr>
      <w:r w:rsidRPr="00AF2029">
        <w:rPr>
          <w:rFonts w:ascii="Times New Roman" w:hAnsi="Times New Roman" w:cs="Times New Roman"/>
          <w:sz w:val="32"/>
          <w:szCs w:val="32"/>
        </w:rPr>
        <w:t xml:space="preserve">Tuttavia </w:t>
      </w:r>
      <w:r w:rsidR="00097656" w:rsidRPr="00AF2029">
        <w:rPr>
          <w:rFonts w:ascii="Times New Roman" w:hAnsi="Times New Roman" w:cs="Times New Roman"/>
          <w:sz w:val="32"/>
          <w:szCs w:val="32"/>
        </w:rPr>
        <w:t xml:space="preserve"> </w:t>
      </w:r>
      <w:r w:rsidRPr="00AF2029">
        <w:rPr>
          <w:rFonts w:ascii="Times New Roman" w:hAnsi="Times New Roman" w:cs="Times New Roman"/>
          <w:sz w:val="32"/>
          <w:szCs w:val="32"/>
        </w:rPr>
        <w:t xml:space="preserve">nella motivazione della sentenza emerge la </w:t>
      </w:r>
      <w:r w:rsidR="00097656" w:rsidRPr="00AF2029">
        <w:rPr>
          <w:rFonts w:ascii="Times New Roman" w:hAnsi="Times New Roman" w:cs="Times New Roman"/>
          <w:sz w:val="32"/>
          <w:szCs w:val="32"/>
        </w:rPr>
        <w:t xml:space="preserve"> </w:t>
      </w:r>
      <w:r w:rsidR="008470ED" w:rsidRPr="00AF2029">
        <w:rPr>
          <w:rFonts w:ascii="Times New Roman" w:hAnsi="Times New Roman" w:cs="Times New Roman"/>
          <w:sz w:val="32"/>
          <w:szCs w:val="32"/>
        </w:rPr>
        <w:t>consapevole</w:t>
      </w:r>
      <w:r w:rsidRPr="00AF2029">
        <w:rPr>
          <w:rFonts w:ascii="Times New Roman" w:hAnsi="Times New Roman" w:cs="Times New Roman"/>
          <w:sz w:val="32"/>
          <w:szCs w:val="32"/>
        </w:rPr>
        <w:t>zza dell’isolamento all’interno dei paesi UE di tale orientamento che – contrastante sia con le direttive del Consiglio d’Europa sia con la giurisprudenza degli altri paesi - viene poggiato sull’orgogliosa applicazione dell’art. 570 c.c. portoghese.</w:t>
      </w:r>
    </w:p>
    <w:p w:rsidR="00AF2029" w:rsidRDefault="00AF2029" w:rsidP="002A0D9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E’ auspicabile che la modifica normativa prospettata dalla proposta di legge  Bonafede sia accompagnata da un coordinamento con </w:t>
      </w:r>
      <w:r w:rsidR="00EE23F6">
        <w:rPr>
          <w:rFonts w:ascii="Times New Roman" w:hAnsi="Times New Roman" w:cs="Times New Roman"/>
          <w:sz w:val="32"/>
          <w:szCs w:val="32"/>
        </w:rPr>
        <w:t xml:space="preserve">il complessivo </w:t>
      </w:r>
      <w:r>
        <w:rPr>
          <w:rFonts w:ascii="Times New Roman" w:hAnsi="Times New Roman" w:cs="Times New Roman"/>
          <w:sz w:val="32"/>
          <w:szCs w:val="32"/>
        </w:rPr>
        <w:t>sistema</w:t>
      </w:r>
      <w:r w:rsidR="00EE23F6">
        <w:rPr>
          <w:rFonts w:ascii="Times New Roman" w:hAnsi="Times New Roman" w:cs="Times New Roman"/>
          <w:sz w:val="32"/>
          <w:szCs w:val="32"/>
        </w:rPr>
        <w:t xml:space="preserve"> giuridico ( v. soprattutto le norme civilistiche in materia di successione ) </w:t>
      </w:r>
      <w:r>
        <w:rPr>
          <w:rFonts w:ascii="Times New Roman" w:hAnsi="Times New Roman" w:cs="Times New Roman"/>
          <w:sz w:val="32"/>
          <w:szCs w:val="32"/>
        </w:rPr>
        <w:t xml:space="preserve"> in modo da evitare che diventi preda di interpretazioni demolitive di una fattispecie che , certamente, in termini di politica assicurativa determinerà </w:t>
      </w:r>
      <w:r w:rsidR="00EE23F6">
        <w:rPr>
          <w:rFonts w:ascii="Times New Roman" w:hAnsi="Times New Roman" w:cs="Times New Roman"/>
          <w:sz w:val="32"/>
          <w:szCs w:val="32"/>
        </w:rPr>
        <w:t xml:space="preserve">per le compagnie </w:t>
      </w:r>
      <w:r>
        <w:rPr>
          <w:rFonts w:ascii="Times New Roman" w:hAnsi="Times New Roman" w:cs="Times New Roman"/>
          <w:sz w:val="32"/>
          <w:szCs w:val="32"/>
        </w:rPr>
        <w:t>qualche preoccupazione.</w:t>
      </w:r>
    </w:p>
    <w:p w:rsidR="00AF2029" w:rsidRDefault="00AF2029" w:rsidP="002A0D90">
      <w:pPr>
        <w:spacing w:after="0" w:line="240" w:lineRule="auto"/>
        <w:jc w:val="both"/>
        <w:rPr>
          <w:rFonts w:ascii="Times New Roman" w:hAnsi="Times New Roman" w:cs="Times New Roman"/>
          <w:sz w:val="32"/>
          <w:szCs w:val="32"/>
        </w:rPr>
      </w:pPr>
    </w:p>
    <w:p w:rsidR="00AF2029" w:rsidRPr="00365C51" w:rsidRDefault="00AF2029" w:rsidP="002A0D90">
      <w:pPr>
        <w:spacing w:after="0" w:line="240" w:lineRule="auto"/>
        <w:jc w:val="both"/>
        <w:rPr>
          <w:rFonts w:ascii="Times New Roman" w:hAnsi="Times New Roman" w:cs="Times New Roman"/>
          <w:b/>
          <w:sz w:val="32"/>
          <w:szCs w:val="32"/>
          <w:u w:val="single"/>
        </w:rPr>
      </w:pPr>
      <w:r w:rsidRPr="00365C51">
        <w:rPr>
          <w:rFonts w:ascii="Times New Roman" w:hAnsi="Times New Roman" w:cs="Times New Roman"/>
          <w:b/>
          <w:sz w:val="32"/>
          <w:szCs w:val="32"/>
          <w:u w:val="single"/>
        </w:rPr>
        <w:t xml:space="preserve">LE  </w:t>
      </w:r>
      <w:r w:rsidR="00097656" w:rsidRPr="00365C51">
        <w:rPr>
          <w:rFonts w:ascii="Times New Roman" w:hAnsi="Times New Roman" w:cs="Times New Roman"/>
          <w:b/>
          <w:sz w:val="32"/>
          <w:szCs w:val="32"/>
          <w:u w:val="single"/>
        </w:rPr>
        <w:t xml:space="preserve">ADR </w:t>
      </w:r>
    </w:p>
    <w:p w:rsidR="00365C51" w:rsidRDefault="00365C51" w:rsidP="002A0D90">
      <w:pPr>
        <w:spacing w:after="0" w:line="240" w:lineRule="auto"/>
        <w:jc w:val="both"/>
        <w:rPr>
          <w:rFonts w:ascii="Times New Roman" w:hAnsi="Times New Roman" w:cs="Times New Roman"/>
          <w:sz w:val="32"/>
          <w:szCs w:val="32"/>
        </w:rPr>
      </w:pPr>
    </w:p>
    <w:p w:rsidR="00365C51" w:rsidRDefault="00AF2029" w:rsidP="002A0D90">
      <w:pPr>
        <w:spacing w:after="0" w:line="240" w:lineRule="auto"/>
        <w:jc w:val="both"/>
        <w:rPr>
          <w:rFonts w:ascii="Times New Roman" w:hAnsi="Times New Roman" w:cs="Times New Roman"/>
          <w:sz w:val="32"/>
          <w:szCs w:val="32"/>
        </w:rPr>
      </w:pPr>
      <w:r w:rsidRPr="00AF2029">
        <w:rPr>
          <w:rFonts w:ascii="Times New Roman" w:hAnsi="Times New Roman" w:cs="Times New Roman"/>
          <w:sz w:val="32"/>
          <w:szCs w:val="32"/>
        </w:rPr>
        <w:t>Gli avvocati che hanno fatto parte del gruppo</w:t>
      </w:r>
      <w:r>
        <w:rPr>
          <w:rFonts w:ascii="Times New Roman" w:hAnsi="Times New Roman" w:cs="Times New Roman"/>
          <w:sz w:val="32"/>
          <w:szCs w:val="32"/>
        </w:rPr>
        <w:t xml:space="preserve"> </w:t>
      </w:r>
      <w:r w:rsidR="00365C51">
        <w:rPr>
          <w:rFonts w:ascii="Times New Roman" w:hAnsi="Times New Roman" w:cs="Times New Roman"/>
          <w:sz w:val="32"/>
          <w:szCs w:val="32"/>
        </w:rPr>
        <w:t>hanno manifestato una contenuta soddisfazione per gli esiti degli strumenti alternativi a quello giudiziale per la composizione dei conflitti.</w:t>
      </w:r>
    </w:p>
    <w:p w:rsidR="00365C51" w:rsidRDefault="00365C51" w:rsidP="002A0D9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E’ stato evidenziato che la negoziazione assistita sta avendo un notevole effetto deflattivo sulle insorgende controversie  in materia di lesioni micropermanenti anche se l’esito, in termini di tutela dei diritti, non è del tutto soddisfacente.</w:t>
      </w:r>
    </w:p>
    <w:p w:rsidR="00365C51" w:rsidRDefault="00365C51" w:rsidP="002A0D9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Viene segnalato infatti che le compagnie si rifiutano di ricomprendere nella liquidazione </w:t>
      </w:r>
      <w:r w:rsidR="00200F28">
        <w:rPr>
          <w:rFonts w:ascii="Times New Roman" w:hAnsi="Times New Roman" w:cs="Times New Roman"/>
          <w:sz w:val="32"/>
          <w:szCs w:val="32"/>
        </w:rPr>
        <w:t xml:space="preserve">gli aspetti morali del danno </w:t>
      </w:r>
      <w:r>
        <w:rPr>
          <w:rFonts w:ascii="Times New Roman" w:hAnsi="Times New Roman" w:cs="Times New Roman"/>
          <w:sz w:val="32"/>
          <w:szCs w:val="32"/>
        </w:rPr>
        <w:t xml:space="preserve"> e che molte definizioni </w:t>
      </w:r>
      <w:r>
        <w:rPr>
          <w:rFonts w:ascii="Times New Roman" w:hAnsi="Times New Roman" w:cs="Times New Roman"/>
          <w:sz w:val="32"/>
          <w:szCs w:val="32"/>
        </w:rPr>
        <w:lastRenderedPageBreak/>
        <w:t xml:space="preserve">sono determinate dallo stato di crisi economica che funge da </w:t>
      </w:r>
      <w:r w:rsidR="00EE23F6">
        <w:rPr>
          <w:rFonts w:ascii="Times New Roman" w:hAnsi="Times New Roman" w:cs="Times New Roman"/>
          <w:sz w:val="32"/>
          <w:szCs w:val="32"/>
        </w:rPr>
        <w:t xml:space="preserve">brutale </w:t>
      </w:r>
      <w:r>
        <w:rPr>
          <w:rFonts w:ascii="Times New Roman" w:hAnsi="Times New Roman" w:cs="Times New Roman"/>
          <w:sz w:val="32"/>
          <w:szCs w:val="32"/>
        </w:rPr>
        <w:t xml:space="preserve"> leva di convincimento .</w:t>
      </w:r>
    </w:p>
    <w:p w:rsidR="00365C51" w:rsidRDefault="00365C51" w:rsidP="002A0D9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Al riguardo è stata sottolineata l’importanza del lavoro dei CTU e la </w:t>
      </w:r>
      <w:r w:rsidR="00200F28">
        <w:rPr>
          <w:rFonts w:ascii="Times New Roman" w:hAnsi="Times New Roman" w:cs="Times New Roman"/>
          <w:sz w:val="32"/>
          <w:szCs w:val="32"/>
        </w:rPr>
        <w:t xml:space="preserve">necessaria </w:t>
      </w:r>
      <w:r>
        <w:rPr>
          <w:rFonts w:ascii="Times New Roman" w:hAnsi="Times New Roman" w:cs="Times New Roman"/>
          <w:sz w:val="32"/>
          <w:szCs w:val="32"/>
        </w:rPr>
        <w:t>precisione d</w:t>
      </w:r>
      <w:r w:rsidR="00EE23F6">
        <w:rPr>
          <w:rFonts w:ascii="Times New Roman" w:hAnsi="Times New Roman" w:cs="Times New Roman"/>
          <w:sz w:val="32"/>
          <w:szCs w:val="32"/>
        </w:rPr>
        <w:t>ei</w:t>
      </w:r>
      <w:r>
        <w:rPr>
          <w:rFonts w:ascii="Times New Roman" w:hAnsi="Times New Roman" w:cs="Times New Roman"/>
          <w:sz w:val="32"/>
          <w:szCs w:val="32"/>
        </w:rPr>
        <w:t xml:space="preserve"> quesiti da formulare : ad esempio la valutazione percentuale delle singole voci di danno, con particolare riferimento al danno fisiognomico , rappresenta un ausilio per un esito meno mortificante delle composizioni transattive.</w:t>
      </w:r>
    </w:p>
    <w:p w:rsidR="00365C51" w:rsidRDefault="00365C51" w:rsidP="002A0D9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Al riguardo è stato ritenuto soddisfacente il quesito standard formulato dalla XIIa sezione del Tribunale di Roma che si allega.</w:t>
      </w:r>
    </w:p>
    <w:p w:rsidR="00EE23F6" w:rsidRDefault="00EE23F6" w:rsidP="00EE23F6">
      <w:pPr>
        <w:spacing w:after="0" w:line="240" w:lineRule="auto"/>
        <w:jc w:val="right"/>
        <w:rPr>
          <w:rFonts w:ascii="Times New Roman" w:hAnsi="Times New Roman" w:cs="Times New Roman"/>
          <w:sz w:val="32"/>
          <w:szCs w:val="32"/>
        </w:rPr>
      </w:pPr>
    </w:p>
    <w:p w:rsidR="00EE23F6" w:rsidRDefault="00EE23F6" w:rsidP="00EE23F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Roma, 17.5.2016  </w:t>
      </w:r>
    </w:p>
    <w:p w:rsidR="00EE23F6" w:rsidRDefault="00EE23F6" w:rsidP="00EE23F6">
      <w:pPr>
        <w:spacing w:after="0" w:line="240" w:lineRule="auto"/>
        <w:jc w:val="right"/>
        <w:rPr>
          <w:rFonts w:ascii="Times New Roman" w:hAnsi="Times New Roman" w:cs="Times New Roman"/>
          <w:sz w:val="32"/>
          <w:szCs w:val="32"/>
        </w:rPr>
      </w:pPr>
    </w:p>
    <w:p w:rsidR="00EE23F6" w:rsidRDefault="00EE23F6" w:rsidP="00EE23F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Il testo è stato assemblato dalla Pres.te Antonella Di Florio</w:t>
      </w:r>
    </w:p>
    <w:p w:rsidR="00EE23F6" w:rsidRDefault="00EE23F6" w:rsidP="00EE23F6">
      <w:pPr>
        <w:spacing w:after="0" w:line="240" w:lineRule="auto"/>
        <w:jc w:val="right"/>
        <w:rPr>
          <w:rFonts w:ascii="Times New Roman" w:hAnsi="Times New Roman" w:cs="Times New Roman"/>
          <w:sz w:val="32"/>
          <w:szCs w:val="32"/>
        </w:rPr>
      </w:pPr>
    </w:p>
    <w:sectPr w:rsidR="00EE23F6" w:rsidSect="0060378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1E" w:rsidRDefault="00A82C1E" w:rsidP="008470ED">
      <w:pPr>
        <w:spacing w:after="0" w:line="240" w:lineRule="auto"/>
      </w:pPr>
      <w:r>
        <w:separator/>
      </w:r>
    </w:p>
  </w:endnote>
  <w:endnote w:type="continuationSeparator" w:id="0">
    <w:p w:rsidR="00A82C1E" w:rsidRDefault="00A82C1E" w:rsidP="0084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434710"/>
      <w:docPartObj>
        <w:docPartGallery w:val="Page Numbers (Bottom of Page)"/>
        <w:docPartUnique/>
      </w:docPartObj>
    </w:sdtPr>
    <w:sdtContent>
      <w:p w:rsidR="00EE61CC" w:rsidRDefault="00EE61CC">
        <w:pPr>
          <w:pStyle w:val="Pidipagina"/>
          <w:jc w:val="center"/>
        </w:pPr>
        <w:r>
          <w:fldChar w:fldCharType="begin"/>
        </w:r>
        <w:r>
          <w:instrText>PAGE   \* MERGEFORMAT</w:instrText>
        </w:r>
        <w:r>
          <w:fldChar w:fldCharType="separate"/>
        </w:r>
        <w:r>
          <w:rPr>
            <w:noProof/>
          </w:rPr>
          <w:t>1</w:t>
        </w:r>
        <w:r>
          <w:fldChar w:fldCharType="end"/>
        </w:r>
      </w:p>
    </w:sdtContent>
  </w:sdt>
  <w:p w:rsidR="00EE61CC" w:rsidRDefault="00EE61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1E" w:rsidRDefault="00A82C1E" w:rsidP="008470ED">
      <w:pPr>
        <w:spacing w:after="0" w:line="240" w:lineRule="auto"/>
      </w:pPr>
      <w:r>
        <w:separator/>
      </w:r>
    </w:p>
  </w:footnote>
  <w:footnote w:type="continuationSeparator" w:id="0">
    <w:p w:rsidR="00A82C1E" w:rsidRDefault="00A82C1E" w:rsidP="00847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23822"/>
      <w:docPartObj>
        <w:docPartGallery w:val="Page Numbers (Top of Page)"/>
        <w:docPartUnique/>
      </w:docPartObj>
    </w:sdtPr>
    <w:sdtEndPr/>
    <w:sdtContent>
      <w:p w:rsidR="008470ED" w:rsidRDefault="008E505F">
        <w:pPr>
          <w:pStyle w:val="Intestazione"/>
        </w:pPr>
        <w:r>
          <w:fldChar w:fldCharType="begin"/>
        </w:r>
        <w:r w:rsidR="008470ED">
          <w:instrText>PAGE   \* MERGEFORMAT</w:instrText>
        </w:r>
        <w:r>
          <w:fldChar w:fldCharType="separate"/>
        </w:r>
        <w:r w:rsidR="00EE61CC">
          <w:rPr>
            <w:noProof/>
          </w:rPr>
          <w:t>1</w:t>
        </w:r>
        <w:r>
          <w:fldChar w:fldCharType="end"/>
        </w:r>
      </w:p>
    </w:sdtContent>
  </w:sdt>
  <w:p w:rsidR="008470ED" w:rsidRDefault="008470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5BD9"/>
    <w:multiLevelType w:val="hybridMultilevel"/>
    <w:tmpl w:val="D6CA7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B4552A5"/>
    <w:multiLevelType w:val="hybridMultilevel"/>
    <w:tmpl w:val="7EA05738"/>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B4"/>
    <w:rsid w:val="00046F73"/>
    <w:rsid w:val="00097656"/>
    <w:rsid w:val="000D48AC"/>
    <w:rsid w:val="001F6F37"/>
    <w:rsid w:val="00200F28"/>
    <w:rsid w:val="00287A04"/>
    <w:rsid w:val="002A0D90"/>
    <w:rsid w:val="00341D41"/>
    <w:rsid w:val="00365C51"/>
    <w:rsid w:val="003764E2"/>
    <w:rsid w:val="003C2A93"/>
    <w:rsid w:val="003D4A4F"/>
    <w:rsid w:val="003E3E03"/>
    <w:rsid w:val="00406B4E"/>
    <w:rsid w:val="00444367"/>
    <w:rsid w:val="004A1659"/>
    <w:rsid w:val="004C1A72"/>
    <w:rsid w:val="004C5785"/>
    <w:rsid w:val="005036F4"/>
    <w:rsid w:val="005339AB"/>
    <w:rsid w:val="00535306"/>
    <w:rsid w:val="00536138"/>
    <w:rsid w:val="00603785"/>
    <w:rsid w:val="0077444A"/>
    <w:rsid w:val="007C444D"/>
    <w:rsid w:val="00816821"/>
    <w:rsid w:val="008470ED"/>
    <w:rsid w:val="0087059A"/>
    <w:rsid w:val="008851D1"/>
    <w:rsid w:val="008E505F"/>
    <w:rsid w:val="009307AB"/>
    <w:rsid w:val="0093528F"/>
    <w:rsid w:val="0097558F"/>
    <w:rsid w:val="00A54246"/>
    <w:rsid w:val="00A603B4"/>
    <w:rsid w:val="00A82C1E"/>
    <w:rsid w:val="00AA0A04"/>
    <w:rsid w:val="00AF2029"/>
    <w:rsid w:val="00B80DD3"/>
    <w:rsid w:val="00BC61D4"/>
    <w:rsid w:val="00BE4109"/>
    <w:rsid w:val="00C934FA"/>
    <w:rsid w:val="00CA359B"/>
    <w:rsid w:val="00CB7687"/>
    <w:rsid w:val="00D811CE"/>
    <w:rsid w:val="00D90151"/>
    <w:rsid w:val="00EE23F6"/>
    <w:rsid w:val="00EE61CC"/>
    <w:rsid w:val="00F85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1659"/>
    <w:pPr>
      <w:ind w:left="720"/>
      <w:contextualSpacing/>
    </w:pPr>
  </w:style>
  <w:style w:type="paragraph" w:styleId="Intestazione">
    <w:name w:val="header"/>
    <w:basedOn w:val="Normale"/>
    <w:link w:val="IntestazioneCarattere"/>
    <w:uiPriority w:val="99"/>
    <w:unhideWhenUsed/>
    <w:rsid w:val="008470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0ED"/>
  </w:style>
  <w:style w:type="paragraph" w:styleId="Pidipagina">
    <w:name w:val="footer"/>
    <w:basedOn w:val="Normale"/>
    <w:link w:val="PidipaginaCarattere"/>
    <w:uiPriority w:val="99"/>
    <w:unhideWhenUsed/>
    <w:rsid w:val="008470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1659"/>
    <w:pPr>
      <w:ind w:left="720"/>
      <w:contextualSpacing/>
    </w:pPr>
  </w:style>
  <w:style w:type="paragraph" w:styleId="Intestazione">
    <w:name w:val="header"/>
    <w:basedOn w:val="Normale"/>
    <w:link w:val="IntestazioneCarattere"/>
    <w:uiPriority w:val="99"/>
    <w:unhideWhenUsed/>
    <w:rsid w:val="008470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0ED"/>
  </w:style>
  <w:style w:type="paragraph" w:styleId="Pidipagina">
    <w:name w:val="footer"/>
    <w:basedOn w:val="Normale"/>
    <w:link w:val="PidipaginaCarattere"/>
    <w:uiPriority w:val="99"/>
    <w:unhideWhenUsed/>
    <w:rsid w:val="008470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14887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Di Florio</dc:creator>
  <cp:lastModifiedBy>Riva Crugnola Elena</cp:lastModifiedBy>
  <cp:revision>3</cp:revision>
  <cp:lastPrinted>2016-05-18T13:48:00Z</cp:lastPrinted>
  <dcterms:created xsi:type="dcterms:W3CDTF">2016-05-23T11:04:00Z</dcterms:created>
  <dcterms:modified xsi:type="dcterms:W3CDTF">2016-05-23T11:04:00Z</dcterms:modified>
</cp:coreProperties>
</file>