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41" w:rsidRPr="002B2291" w:rsidRDefault="00016E41" w:rsidP="00EA61BF">
      <w:pPr>
        <w:tabs>
          <w:tab w:val="center" w:pos="4819"/>
          <w:tab w:val="left" w:pos="7740"/>
        </w:tabs>
        <w:spacing w:after="0" w:line="240" w:lineRule="auto"/>
        <w:jc w:val="center"/>
        <w:rPr>
          <w:rFonts w:ascii="Century" w:hAnsi="Century"/>
          <w:b/>
          <w:sz w:val="28"/>
          <w:szCs w:val="28"/>
        </w:rPr>
      </w:pPr>
      <w:r w:rsidRPr="002B2291">
        <w:rPr>
          <w:rFonts w:ascii="Century" w:hAnsi="Century"/>
          <w:b/>
          <w:sz w:val="28"/>
          <w:szCs w:val="28"/>
        </w:rPr>
        <w:t>XI</w:t>
      </w:r>
      <w:r>
        <w:rPr>
          <w:rFonts w:ascii="Century" w:hAnsi="Century"/>
          <w:b/>
          <w:sz w:val="28"/>
          <w:szCs w:val="28"/>
        </w:rPr>
        <w:t>I</w:t>
      </w:r>
      <w:r w:rsidRPr="002B2291">
        <w:rPr>
          <w:rFonts w:ascii="Century" w:hAnsi="Century"/>
          <w:b/>
          <w:sz w:val="28"/>
          <w:szCs w:val="28"/>
        </w:rPr>
        <w:t xml:space="preserve"> ASSEMBLEA NAZIONALE DEGLI OSSERVATORI</w:t>
      </w:r>
    </w:p>
    <w:p w:rsidR="00016E41" w:rsidRDefault="00016E41" w:rsidP="00EA61BF">
      <w:pPr>
        <w:tabs>
          <w:tab w:val="center" w:pos="4819"/>
          <w:tab w:val="left" w:pos="7740"/>
        </w:tabs>
        <w:spacing w:after="0" w:line="240" w:lineRule="auto"/>
        <w:jc w:val="center"/>
        <w:rPr>
          <w:rFonts w:ascii="Century" w:hAnsi="Century"/>
          <w:b/>
          <w:sz w:val="28"/>
          <w:szCs w:val="28"/>
        </w:rPr>
      </w:pPr>
      <w:r>
        <w:rPr>
          <w:rFonts w:ascii="Century" w:hAnsi="Century"/>
          <w:b/>
          <w:sz w:val="28"/>
          <w:szCs w:val="28"/>
        </w:rPr>
        <w:t>Giustizia diffusa e condivisa</w:t>
      </w:r>
    </w:p>
    <w:p w:rsidR="00016E41" w:rsidRPr="002B2291" w:rsidRDefault="00016E41" w:rsidP="00EA61BF">
      <w:pPr>
        <w:tabs>
          <w:tab w:val="center" w:pos="4819"/>
          <w:tab w:val="left" w:pos="7740"/>
        </w:tabs>
        <w:spacing w:after="0" w:line="240" w:lineRule="auto"/>
        <w:jc w:val="center"/>
        <w:rPr>
          <w:rFonts w:ascii="Century" w:hAnsi="Century"/>
          <w:b/>
          <w:sz w:val="28"/>
          <w:szCs w:val="28"/>
        </w:rPr>
      </w:pPr>
      <w:r>
        <w:rPr>
          <w:rFonts w:ascii="Century" w:hAnsi="Century"/>
          <w:b/>
          <w:sz w:val="28"/>
          <w:szCs w:val="28"/>
        </w:rPr>
        <w:t>Confronto e collaborazione nella risoluzione dei conflitti</w:t>
      </w:r>
    </w:p>
    <w:p w:rsidR="00016E41" w:rsidRPr="002B2291" w:rsidRDefault="00016E41" w:rsidP="00EA61BF">
      <w:pPr>
        <w:tabs>
          <w:tab w:val="center" w:pos="4819"/>
          <w:tab w:val="left" w:pos="7740"/>
        </w:tabs>
        <w:spacing w:after="0" w:line="240" w:lineRule="auto"/>
        <w:jc w:val="center"/>
        <w:rPr>
          <w:rFonts w:ascii="Century" w:hAnsi="Century"/>
          <w:b/>
          <w:sz w:val="24"/>
          <w:szCs w:val="24"/>
        </w:rPr>
      </w:pPr>
      <w:r>
        <w:rPr>
          <w:rFonts w:ascii="Century" w:hAnsi="Century"/>
          <w:b/>
          <w:sz w:val="28"/>
          <w:szCs w:val="28"/>
        </w:rPr>
        <w:t>ROMA</w:t>
      </w:r>
      <w:r w:rsidRPr="002B2291">
        <w:rPr>
          <w:rFonts w:ascii="Century" w:hAnsi="Century"/>
          <w:b/>
          <w:sz w:val="28"/>
          <w:szCs w:val="28"/>
        </w:rPr>
        <w:t xml:space="preserve">, </w:t>
      </w:r>
      <w:r>
        <w:rPr>
          <w:rFonts w:ascii="Century" w:hAnsi="Century"/>
          <w:b/>
          <w:sz w:val="28"/>
          <w:szCs w:val="28"/>
        </w:rPr>
        <w:t>20 MAGGIO 2017</w:t>
      </w:r>
    </w:p>
    <w:p w:rsidR="00016E41" w:rsidRPr="00373960" w:rsidRDefault="00016E41" w:rsidP="002834AE">
      <w:pPr>
        <w:tabs>
          <w:tab w:val="center" w:pos="4819"/>
          <w:tab w:val="left" w:pos="7740"/>
        </w:tabs>
        <w:spacing w:before="600" w:after="0" w:line="240" w:lineRule="auto"/>
        <w:jc w:val="center"/>
        <w:rPr>
          <w:rFonts w:ascii="Century" w:hAnsi="Century" w:cs="Times New Roman"/>
          <w:b/>
          <w:bCs/>
          <w:color w:val="333333"/>
          <w:sz w:val="28"/>
          <w:szCs w:val="28"/>
        </w:rPr>
      </w:pPr>
      <w:r w:rsidRPr="00373960">
        <w:rPr>
          <w:rFonts w:ascii="Century" w:hAnsi="Century" w:cs="Times New Roman"/>
          <w:b/>
          <w:bCs/>
          <w:color w:val="333333"/>
          <w:sz w:val="28"/>
          <w:szCs w:val="28"/>
        </w:rPr>
        <w:t>Gruppo di lavoro</w:t>
      </w:r>
    </w:p>
    <w:p w:rsidR="00016E41" w:rsidRDefault="00016E41" w:rsidP="002834AE">
      <w:pPr>
        <w:tabs>
          <w:tab w:val="center" w:pos="4819"/>
          <w:tab w:val="left" w:pos="7740"/>
        </w:tabs>
        <w:spacing w:before="120" w:after="0" w:line="240" w:lineRule="auto"/>
        <w:jc w:val="center"/>
        <w:rPr>
          <w:rFonts w:ascii="Century" w:hAnsi="Century" w:cs="Times New Roman"/>
          <w:b/>
          <w:bCs/>
          <w:color w:val="333333"/>
          <w:sz w:val="28"/>
          <w:szCs w:val="28"/>
        </w:rPr>
      </w:pPr>
      <w:r>
        <w:rPr>
          <w:rFonts w:ascii="Century" w:hAnsi="Century" w:cs="Times New Roman"/>
          <w:b/>
          <w:bCs/>
          <w:color w:val="333333"/>
          <w:sz w:val="28"/>
          <w:szCs w:val="28"/>
        </w:rPr>
        <w:t>P</w:t>
      </w:r>
      <w:r w:rsidRPr="00373960">
        <w:rPr>
          <w:rFonts w:ascii="Century" w:hAnsi="Century" w:cs="Times New Roman"/>
          <w:b/>
          <w:bCs/>
          <w:color w:val="333333"/>
          <w:sz w:val="28"/>
          <w:szCs w:val="28"/>
        </w:rPr>
        <w:t>revedibilità delle decisioni</w:t>
      </w:r>
      <w:r>
        <w:rPr>
          <w:rFonts w:ascii="Century" w:hAnsi="Century" w:cs="Times New Roman"/>
          <w:b/>
          <w:bCs/>
          <w:color w:val="333333"/>
          <w:sz w:val="28"/>
          <w:szCs w:val="28"/>
        </w:rPr>
        <w:t xml:space="preserve"> e dialogo fra i diversi gradi della giurisdizione</w:t>
      </w:r>
    </w:p>
    <w:p w:rsidR="00016E41" w:rsidRPr="00373960" w:rsidRDefault="00016E41" w:rsidP="002834AE">
      <w:pPr>
        <w:tabs>
          <w:tab w:val="center" w:pos="4819"/>
          <w:tab w:val="left" w:pos="7740"/>
        </w:tabs>
        <w:spacing w:before="120" w:after="0" w:line="240" w:lineRule="auto"/>
        <w:jc w:val="center"/>
        <w:rPr>
          <w:rFonts w:ascii="Century" w:hAnsi="Century" w:cs="Times New Roman"/>
          <w:b/>
          <w:sz w:val="28"/>
          <w:szCs w:val="28"/>
        </w:rPr>
      </w:pPr>
      <w:r w:rsidRPr="00373960">
        <w:rPr>
          <w:rFonts w:ascii="Century" w:hAnsi="Century" w:cs="Times New Roman"/>
          <w:b/>
          <w:sz w:val="28"/>
          <w:szCs w:val="28"/>
        </w:rPr>
        <w:t>SCHEDA PREPARATORIA</w:t>
      </w:r>
    </w:p>
    <w:p w:rsidR="00016E41" w:rsidRDefault="00016E41" w:rsidP="00016E41">
      <w:pPr>
        <w:spacing w:before="360" w:after="120"/>
        <w:jc w:val="both"/>
        <w:rPr>
          <w:rFonts w:ascii="Times New Roman" w:hAnsi="Times New Roman" w:cs="Times New Roman"/>
          <w:sz w:val="24"/>
          <w:szCs w:val="24"/>
        </w:rPr>
      </w:pPr>
      <w:r>
        <w:rPr>
          <w:rFonts w:ascii="Times New Roman" w:hAnsi="Times New Roman" w:cs="Times New Roman"/>
          <w:sz w:val="24"/>
          <w:szCs w:val="24"/>
        </w:rPr>
        <w:t>n</w:t>
      </w:r>
      <w:r w:rsidRPr="00016E41">
        <w:rPr>
          <w:rFonts w:ascii="Times New Roman" w:hAnsi="Times New Roman" w:cs="Times New Roman"/>
          <w:sz w:val="24"/>
          <w:szCs w:val="24"/>
        </w:rPr>
        <w:t xml:space="preserve">el report del gruppo di lavoro </w:t>
      </w:r>
      <w:r w:rsidRPr="00016E41">
        <w:rPr>
          <w:rFonts w:ascii="Times New Roman" w:hAnsi="Times New Roman" w:cs="Times New Roman"/>
          <w:b/>
          <w:i/>
          <w:sz w:val="24"/>
          <w:szCs w:val="24"/>
        </w:rPr>
        <w:t>DIRIT</w:t>
      </w:r>
      <w:r>
        <w:rPr>
          <w:rFonts w:ascii="Times New Roman" w:hAnsi="Times New Roman" w:cs="Times New Roman"/>
          <w:b/>
          <w:i/>
          <w:sz w:val="24"/>
          <w:szCs w:val="24"/>
        </w:rPr>
        <w:t>TO GIURISPRUDENZIALE E PREVEDIBIL</w:t>
      </w:r>
      <w:r w:rsidRPr="00016E41">
        <w:rPr>
          <w:rFonts w:ascii="Times New Roman" w:hAnsi="Times New Roman" w:cs="Times New Roman"/>
          <w:b/>
          <w:i/>
          <w:sz w:val="24"/>
          <w:szCs w:val="24"/>
        </w:rPr>
        <w:t>ITA’ DELL</w:t>
      </w:r>
      <w:r>
        <w:rPr>
          <w:rFonts w:ascii="Times New Roman" w:hAnsi="Times New Roman" w:cs="Times New Roman"/>
          <w:b/>
          <w:i/>
          <w:sz w:val="24"/>
          <w:szCs w:val="24"/>
        </w:rPr>
        <w:t xml:space="preserve">E DECISIONI: OSSIMORO O BINOMIO </w:t>
      </w:r>
      <w:r w:rsidRPr="00016E41">
        <w:rPr>
          <w:rFonts w:ascii="Times New Roman" w:hAnsi="Times New Roman" w:cs="Times New Roman"/>
          <w:b/>
          <w:i/>
          <w:sz w:val="24"/>
          <w:szCs w:val="24"/>
        </w:rPr>
        <w:t>?</w:t>
      </w:r>
      <w:r>
        <w:rPr>
          <w:rFonts w:ascii="Times New Roman" w:hAnsi="Times New Roman" w:cs="Times New Roman"/>
          <w:b/>
          <w:i/>
          <w:sz w:val="24"/>
          <w:szCs w:val="24"/>
        </w:rPr>
        <w:t xml:space="preserve"> </w:t>
      </w:r>
      <w:r w:rsidRPr="00016E41">
        <w:rPr>
          <w:rFonts w:ascii="Times New Roman" w:hAnsi="Times New Roman" w:cs="Times New Roman"/>
          <w:sz w:val="24"/>
          <w:szCs w:val="24"/>
        </w:rPr>
        <w:t xml:space="preserve">della XI Assemblea nazionale degli Osservatori, tenutasi a Milano nel maggio 2016, </w:t>
      </w:r>
      <w:r>
        <w:rPr>
          <w:rFonts w:ascii="Times New Roman" w:hAnsi="Times New Roman" w:cs="Times New Roman"/>
          <w:sz w:val="24"/>
          <w:szCs w:val="24"/>
        </w:rPr>
        <w:t>si legge:</w:t>
      </w:r>
    </w:p>
    <w:p w:rsidR="00016E41" w:rsidRPr="00016E41" w:rsidRDefault="00016E41" w:rsidP="00016E41">
      <w:pPr>
        <w:spacing w:before="120" w:after="120" w:line="240" w:lineRule="auto"/>
        <w:jc w:val="both"/>
        <w:rPr>
          <w:rFonts w:ascii="Times New Roman" w:hAnsi="Times New Roman" w:cs="Times New Roman"/>
          <w:i/>
          <w:sz w:val="24"/>
          <w:szCs w:val="24"/>
        </w:rPr>
      </w:pPr>
      <w:r w:rsidRPr="00016E41">
        <w:rPr>
          <w:rFonts w:ascii="Times New Roman" w:hAnsi="Times New Roman" w:cs="Times New Roman"/>
          <w:i/>
          <w:sz w:val="24"/>
          <w:szCs w:val="24"/>
        </w:rPr>
        <w:t>La prevedibilità delle decisioni è un valore imprescindibile, collegato al principio di uguaglianza, di stabilità delle situazioni giuridiche e condizione essenziale della fiducia di cui le autorità giudiziarie devono godere in uno Stato di diritto.</w:t>
      </w:r>
    </w:p>
    <w:p w:rsidR="00016E41" w:rsidRPr="00016E41" w:rsidRDefault="00016E41" w:rsidP="00016E41">
      <w:pPr>
        <w:spacing w:before="120" w:after="120" w:line="240" w:lineRule="auto"/>
        <w:jc w:val="both"/>
        <w:rPr>
          <w:rFonts w:ascii="Times New Roman" w:hAnsi="Times New Roman" w:cs="Times New Roman"/>
          <w:i/>
          <w:sz w:val="24"/>
          <w:szCs w:val="24"/>
        </w:rPr>
      </w:pPr>
      <w:r w:rsidRPr="00016E41">
        <w:rPr>
          <w:rFonts w:ascii="Times New Roman" w:hAnsi="Times New Roman" w:cs="Times New Roman"/>
          <w:i/>
          <w:sz w:val="24"/>
          <w:szCs w:val="24"/>
        </w:rPr>
        <w:t>In particolare, come osservato dalla Corte Europea per i diritti Umani, a fronte dell’assoluta fisiologia connessa alla diversità di orientamenti giurisprudenziali fra le corti di merito e quella di legittimità, non è tollerabile che vi siano marcate diversità di vedute all’interno dell’organo che ha il compito di dare uniformità alla giurisprudenza.</w:t>
      </w:r>
    </w:p>
    <w:p w:rsidR="00016E41" w:rsidRPr="00016E41" w:rsidRDefault="00016E41" w:rsidP="00016E41">
      <w:pPr>
        <w:spacing w:before="120" w:after="120" w:line="240" w:lineRule="auto"/>
        <w:jc w:val="both"/>
        <w:rPr>
          <w:rFonts w:ascii="Times New Roman" w:hAnsi="Times New Roman" w:cs="Times New Roman"/>
          <w:i/>
          <w:sz w:val="24"/>
          <w:szCs w:val="24"/>
        </w:rPr>
      </w:pPr>
      <w:r w:rsidRPr="00016E41">
        <w:rPr>
          <w:rFonts w:ascii="Times New Roman" w:hAnsi="Times New Roman" w:cs="Times New Roman"/>
          <w:i/>
          <w:sz w:val="24"/>
          <w:szCs w:val="24"/>
        </w:rPr>
        <w:t xml:space="preserve">Si è dunque rivelata opportuna la scelta – ferma restando l’affermazione generale di libertà del giudice nell’interpretazione della legge – di introdurre a livello di giurisprudenza della Corte di cassazione meccanismi di “stare </w:t>
      </w:r>
      <w:proofErr w:type="spellStart"/>
      <w:r w:rsidRPr="00016E41">
        <w:rPr>
          <w:rFonts w:ascii="Times New Roman" w:hAnsi="Times New Roman" w:cs="Times New Roman"/>
          <w:i/>
          <w:sz w:val="24"/>
          <w:szCs w:val="24"/>
        </w:rPr>
        <w:t>decisis</w:t>
      </w:r>
      <w:proofErr w:type="spellEnd"/>
      <w:r w:rsidRPr="00016E41">
        <w:rPr>
          <w:rFonts w:ascii="Times New Roman" w:hAnsi="Times New Roman" w:cs="Times New Roman"/>
          <w:i/>
          <w:sz w:val="24"/>
          <w:szCs w:val="24"/>
        </w:rPr>
        <w:t xml:space="preserve"> attenuato” (art. 374 comma 3 </w:t>
      </w:r>
      <w:proofErr w:type="spellStart"/>
      <w:r w:rsidRPr="00016E41">
        <w:rPr>
          <w:rFonts w:ascii="Times New Roman" w:hAnsi="Times New Roman" w:cs="Times New Roman"/>
          <w:i/>
          <w:sz w:val="24"/>
          <w:szCs w:val="24"/>
        </w:rPr>
        <w:t>c.p.c.</w:t>
      </w:r>
      <w:proofErr w:type="spellEnd"/>
      <w:r w:rsidRPr="00016E41">
        <w:rPr>
          <w:rFonts w:ascii="Times New Roman" w:hAnsi="Times New Roman" w:cs="Times New Roman"/>
          <w:i/>
          <w:sz w:val="24"/>
          <w:szCs w:val="24"/>
        </w:rPr>
        <w:t xml:space="preserve">) ed è da apprezzare il recente indirizzo della Corte di cassazione che, interpretando il disposto dell’art. 360 bis </w:t>
      </w:r>
      <w:proofErr w:type="spellStart"/>
      <w:r w:rsidRPr="00016E41">
        <w:rPr>
          <w:rFonts w:ascii="Times New Roman" w:hAnsi="Times New Roman" w:cs="Times New Roman"/>
          <w:i/>
          <w:sz w:val="24"/>
          <w:szCs w:val="24"/>
        </w:rPr>
        <w:t>c.p.c.</w:t>
      </w:r>
      <w:proofErr w:type="spellEnd"/>
      <w:r w:rsidRPr="00016E41">
        <w:rPr>
          <w:rFonts w:ascii="Times New Roman" w:hAnsi="Times New Roman" w:cs="Times New Roman"/>
          <w:i/>
          <w:sz w:val="24"/>
          <w:szCs w:val="24"/>
        </w:rPr>
        <w:t xml:space="preserve">, ha conferito particolare stabilità al precedente delle Sezioni Unite in materia processuale. </w:t>
      </w:r>
    </w:p>
    <w:p w:rsidR="00016E41" w:rsidRPr="00016E41" w:rsidRDefault="00016E41" w:rsidP="00016E41">
      <w:pPr>
        <w:spacing w:before="120" w:after="120" w:line="240" w:lineRule="auto"/>
        <w:jc w:val="both"/>
        <w:rPr>
          <w:rFonts w:ascii="Times New Roman" w:hAnsi="Times New Roman" w:cs="Times New Roman"/>
          <w:i/>
          <w:sz w:val="24"/>
          <w:szCs w:val="24"/>
        </w:rPr>
      </w:pPr>
      <w:r w:rsidRPr="00016E41">
        <w:rPr>
          <w:rFonts w:ascii="Times New Roman" w:hAnsi="Times New Roman" w:cs="Times New Roman"/>
          <w:i/>
          <w:sz w:val="24"/>
          <w:szCs w:val="24"/>
        </w:rPr>
        <w:t>Proprio le particolarità della produzione giuridica giurisprudenziale che emergono quando è necessario decidere in materie non regolate o regolate con norme a fattispecie rarefatta, ma anche le esigenze di effettività della tutela dei diritti, che possono portare a dare rilievo a situazioni giuridiche nuove o ad ammettere forme di tutela nuove a situazioni già riconosciute, rendono necessaria, anche a fini di tutela della prevedibilità delle decisioni, l’introduzione di opportune prassi che la rendano massimamente partecipata.</w:t>
      </w:r>
    </w:p>
    <w:p w:rsidR="00016E41" w:rsidRPr="00016E41" w:rsidRDefault="00016E41" w:rsidP="00654C50">
      <w:pPr>
        <w:spacing w:before="120" w:after="120" w:line="240" w:lineRule="auto"/>
        <w:contextualSpacing/>
        <w:jc w:val="both"/>
        <w:rPr>
          <w:rFonts w:ascii="Times New Roman" w:hAnsi="Times New Roman" w:cs="Times New Roman"/>
          <w:i/>
          <w:sz w:val="24"/>
          <w:szCs w:val="24"/>
        </w:rPr>
      </w:pPr>
      <w:r w:rsidRPr="00016E41">
        <w:rPr>
          <w:rFonts w:ascii="Times New Roman" w:hAnsi="Times New Roman" w:cs="Times New Roman"/>
          <w:i/>
          <w:sz w:val="24"/>
          <w:szCs w:val="24"/>
        </w:rPr>
        <w:t>Vanno cioè implementate pratiche di discussione collettiva e nomofilachia dal basso descritte di seguito.</w:t>
      </w:r>
    </w:p>
    <w:p w:rsidR="00016E41" w:rsidRPr="00016E41" w:rsidRDefault="00016E41" w:rsidP="00654C50">
      <w:pPr>
        <w:spacing w:before="120" w:after="120" w:line="240" w:lineRule="auto"/>
        <w:contextualSpacing/>
        <w:jc w:val="both"/>
        <w:rPr>
          <w:rFonts w:ascii="Times New Roman" w:hAnsi="Times New Roman" w:cs="Times New Roman"/>
          <w:i/>
        </w:rPr>
      </w:pPr>
      <w:r w:rsidRPr="00016E41">
        <w:rPr>
          <w:rFonts w:ascii="Times New Roman" w:hAnsi="Times New Roman" w:cs="Times New Roman"/>
          <w:i/>
        </w:rPr>
        <w:t xml:space="preserve">In primo luogo, nel processo, deve essere massimamente valorizzato il principio di contraddittorio, anche con riferimento all’ individuazione/interpretazione della norma applicabile, ed una trattazione approfondita ed effettiva di ogni aspetto della causa sin dalla prima udienza. </w:t>
      </w:r>
    </w:p>
    <w:p w:rsidR="00016E41" w:rsidRPr="00016E41" w:rsidRDefault="00016E41" w:rsidP="00654C50">
      <w:pPr>
        <w:spacing w:before="120" w:after="120" w:line="240" w:lineRule="auto"/>
        <w:contextualSpacing/>
        <w:jc w:val="both"/>
        <w:rPr>
          <w:rFonts w:ascii="Times New Roman" w:hAnsi="Times New Roman" w:cs="Times New Roman"/>
          <w:i/>
        </w:rPr>
      </w:pPr>
      <w:r w:rsidRPr="00016E41">
        <w:rPr>
          <w:rFonts w:ascii="Times New Roman" w:hAnsi="Times New Roman" w:cs="Times New Roman"/>
          <w:i/>
        </w:rPr>
        <w:t>Il dialogo processuale deve essere strumento di dichiarazione e collaborazione per costruire la decisione. Va richiama anche, al riguardo, la rilevanza dei protocolli processuali e del raccordo tra atti difensi</w:t>
      </w:r>
      <w:r w:rsidRPr="00016E41">
        <w:rPr>
          <w:rFonts w:ascii="Times New Roman" w:hAnsi="Times New Roman" w:cs="Times New Roman"/>
          <w:i/>
        </w:rPr>
        <w:t>vi e provvedimenti del giudice.</w:t>
      </w:r>
    </w:p>
    <w:p w:rsidR="00016E41" w:rsidRPr="00016E41" w:rsidRDefault="00016E41" w:rsidP="00654C50">
      <w:pPr>
        <w:spacing w:before="120" w:after="120" w:line="240" w:lineRule="auto"/>
        <w:jc w:val="both"/>
        <w:rPr>
          <w:rFonts w:ascii="Times New Roman" w:hAnsi="Times New Roman" w:cs="Times New Roman"/>
          <w:i/>
        </w:rPr>
      </w:pPr>
      <w:r w:rsidRPr="00016E41">
        <w:rPr>
          <w:rFonts w:ascii="Times New Roman" w:hAnsi="Times New Roman" w:cs="Times New Roman"/>
          <w:i/>
        </w:rPr>
        <w:t xml:space="preserve">In secondo luogo deve essere assicurato da parte dei dirigenti gli uffici giudiziari il regolare svolgimento delle riunioni ex art. 47 quater  </w:t>
      </w:r>
      <w:proofErr w:type="spellStart"/>
      <w:r w:rsidRPr="00016E41">
        <w:rPr>
          <w:rFonts w:ascii="Times New Roman" w:hAnsi="Times New Roman" w:cs="Times New Roman"/>
          <w:i/>
        </w:rPr>
        <w:t>ord</w:t>
      </w:r>
      <w:proofErr w:type="spellEnd"/>
      <w:r w:rsidRPr="00016E41">
        <w:rPr>
          <w:rFonts w:ascii="Times New Roman" w:hAnsi="Times New Roman" w:cs="Times New Roman"/>
          <w:i/>
        </w:rPr>
        <w:t xml:space="preserve">. </w:t>
      </w:r>
      <w:proofErr w:type="spellStart"/>
      <w:r w:rsidRPr="00016E41">
        <w:rPr>
          <w:rFonts w:ascii="Times New Roman" w:hAnsi="Times New Roman" w:cs="Times New Roman"/>
          <w:i/>
        </w:rPr>
        <w:t>giud</w:t>
      </w:r>
      <w:proofErr w:type="spellEnd"/>
      <w:r w:rsidRPr="00016E41">
        <w:rPr>
          <w:rFonts w:ascii="Times New Roman" w:hAnsi="Times New Roman" w:cs="Times New Roman"/>
          <w:i/>
        </w:rPr>
        <w:t>., anche allargate ad esperti o giudici specializzati in materie diverse, ma rilevanti.</w:t>
      </w:r>
    </w:p>
    <w:p w:rsidR="00016E41" w:rsidRPr="00016E41" w:rsidRDefault="00016E41" w:rsidP="00016E41">
      <w:pPr>
        <w:spacing w:before="120" w:after="120" w:line="240" w:lineRule="auto"/>
        <w:jc w:val="both"/>
        <w:rPr>
          <w:rFonts w:ascii="Times New Roman" w:hAnsi="Times New Roman" w:cs="Times New Roman"/>
          <w:b/>
          <w:i/>
          <w:sz w:val="24"/>
          <w:szCs w:val="24"/>
        </w:rPr>
      </w:pPr>
      <w:r w:rsidRPr="00016E41">
        <w:rPr>
          <w:rFonts w:ascii="Times New Roman" w:hAnsi="Times New Roman" w:cs="Times New Roman"/>
          <w:b/>
          <w:i/>
          <w:sz w:val="24"/>
          <w:szCs w:val="24"/>
        </w:rPr>
        <w:t>In terzo luogo deve essere stimolata la no</w:t>
      </w:r>
      <w:r w:rsidRPr="00016E41">
        <w:rPr>
          <w:rFonts w:ascii="Times New Roman" w:hAnsi="Times New Roman" w:cs="Times New Roman"/>
          <w:b/>
          <w:i/>
          <w:sz w:val="24"/>
          <w:szCs w:val="24"/>
        </w:rPr>
        <w:t>mofilachia dei gradi superiori.</w:t>
      </w:r>
    </w:p>
    <w:p w:rsidR="00016E41" w:rsidRPr="00016E41" w:rsidRDefault="00016E41" w:rsidP="00016E41">
      <w:pPr>
        <w:spacing w:before="120" w:after="120" w:line="240" w:lineRule="auto"/>
        <w:jc w:val="both"/>
        <w:rPr>
          <w:rFonts w:ascii="Times New Roman" w:hAnsi="Times New Roman" w:cs="Times New Roman"/>
          <w:b/>
          <w:i/>
          <w:sz w:val="24"/>
          <w:szCs w:val="24"/>
        </w:rPr>
      </w:pPr>
      <w:r w:rsidRPr="00016E41">
        <w:rPr>
          <w:rFonts w:ascii="Times New Roman" w:hAnsi="Times New Roman" w:cs="Times New Roman"/>
          <w:b/>
          <w:i/>
          <w:sz w:val="24"/>
          <w:szCs w:val="24"/>
        </w:rPr>
        <w:t>In questo senso è molto importante che siano rese diffusamente conoscibili le decisioni delle Corti di Appello in generale, ma anche ed in particolare ai giudici che hann</w:t>
      </w:r>
      <w:r w:rsidRPr="00016E41">
        <w:rPr>
          <w:rFonts w:ascii="Times New Roman" w:hAnsi="Times New Roman" w:cs="Times New Roman"/>
          <w:b/>
          <w:i/>
          <w:sz w:val="24"/>
          <w:szCs w:val="24"/>
        </w:rPr>
        <w:t>o emesso la sentenza impugnata.</w:t>
      </w:r>
    </w:p>
    <w:p w:rsidR="00016E41" w:rsidRPr="00016E41" w:rsidRDefault="00016E41" w:rsidP="00016E41">
      <w:pPr>
        <w:spacing w:before="120" w:after="120" w:line="240" w:lineRule="auto"/>
        <w:jc w:val="both"/>
        <w:rPr>
          <w:rFonts w:ascii="Times New Roman" w:hAnsi="Times New Roman" w:cs="Times New Roman"/>
          <w:b/>
          <w:i/>
          <w:sz w:val="24"/>
          <w:szCs w:val="24"/>
        </w:rPr>
      </w:pPr>
      <w:r w:rsidRPr="00016E41">
        <w:rPr>
          <w:rFonts w:ascii="Times New Roman" w:hAnsi="Times New Roman" w:cs="Times New Roman"/>
          <w:b/>
          <w:i/>
          <w:sz w:val="24"/>
          <w:szCs w:val="24"/>
        </w:rPr>
        <w:t xml:space="preserve">Si è discussa la possibilità di inviare </w:t>
      </w:r>
      <w:proofErr w:type="spellStart"/>
      <w:r w:rsidRPr="00016E41">
        <w:rPr>
          <w:rFonts w:ascii="Times New Roman" w:hAnsi="Times New Roman" w:cs="Times New Roman"/>
          <w:b/>
          <w:i/>
          <w:sz w:val="24"/>
          <w:szCs w:val="24"/>
        </w:rPr>
        <w:t>leading</w:t>
      </w:r>
      <w:proofErr w:type="spellEnd"/>
      <w:r w:rsidRPr="00016E41">
        <w:rPr>
          <w:rFonts w:ascii="Times New Roman" w:hAnsi="Times New Roman" w:cs="Times New Roman"/>
          <w:b/>
          <w:i/>
          <w:sz w:val="24"/>
          <w:szCs w:val="24"/>
        </w:rPr>
        <w:t xml:space="preserve"> case in via preferenziale alle Corti di secondo grado ed alla Corte di Cassazione per ottenere rapidamente una decisione uniformante. In contrario avviso si è osservato che la funzione nomofilattica può essere adeguatamente esercitata dalla Corte di cassazione solo dopo che i giudici di merito hanno esaurito nelle loro decisioni le loro possibilità interpretative, facendo emergere, nella pluralità dei casi giudicati, le possibili sfaccettature problematiche della </w:t>
      </w:r>
      <w:r w:rsidRPr="00016E41">
        <w:rPr>
          <w:rFonts w:ascii="Times New Roman" w:hAnsi="Times New Roman" w:cs="Times New Roman"/>
          <w:b/>
          <w:i/>
          <w:sz w:val="24"/>
          <w:szCs w:val="24"/>
        </w:rPr>
        <w:t>fattispecie.</w:t>
      </w:r>
    </w:p>
    <w:p w:rsidR="00016E41" w:rsidRDefault="00016E41" w:rsidP="00016E4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nel gruppo di lavoro di questa assemblea vorremmo proseguire la riflessione dedicandola in particolare </w:t>
      </w:r>
      <w:r w:rsidR="00457F02">
        <w:rPr>
          <w:rFonts w:ascii="Times New Roman" w:hAnsi="Times New Roman" w:cs="Times New Roman"/>
          <w:sz w:val="24"/>
          <w:szCs w:val="24"/>
        </w:rPr>
        <w:t>ai due ultimi punti, che collegano la prevedibilità delle decisioni al dialogo fra i diversi gradi della giurisdizione</w:t>
      </w:r>
    </w:p>
    <w:p w:rsidR="00457F02" w:rsidRPr="00EA61BF" w:rsidRDefault="00EA61BF" w:rsidP="00EA61BF">
      <w:pPr>
        <w:spacing w:before="120" w:after="120" w:line="240" w:lineRule="auto"/>
        <w:jc w:val="center"/>
        <w:rPr>
          <w:rFonts w:ascii="Times New Roman" w:hAnsi="Times New Roman" w:cs="Times New Roman"/>
          <w:b/>
          <w:sz w:val="28"/>
          <w:szCs w:val="28"/>
        </w:rPr>
      </w:pPr>
      <w:r w:rsidRPr="00EA61BF">
        <w:rPr>
          <w:rFonts w:ascii="Times New Roman" w:hAnsi="Times New Roman" w:cs="Times New Roman"/>
          <w:b/>
          <w:sz w:val="28"/>
          <w:szCs w:val="28"/>
        </w:rPr>
        <w:t>temi di discussione</w:t>
      </w:r>
    </w:p>
    <w:p w:rsidR="00457F02" w:rsidRDefault="00457F02" w:rsidP="00457F02">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quanto al </w:t>
      </w:r>
      <w:r w:rsidRPr="00C972E1">
        <w:rPr>
          <w:rFonts w:ascii="Times New Roman" w:hAnsi="Times New Roman" w:cs="Times New Roman"/>
          <w:sz w:val="24"/>
          <w:szCs w:val="24"/>
          <w:u w:val="single"/>
        </w:rPr>
        <w:t>dialogo tra i diversi gradi</w:t>
      </w:r>
      <w:r>
        <w:rPr>
          <w:rFonts w:ascii="Times New Roman" w:hAnsi="Times New Roman" w:cs="Times New Roman"/>
          <w:sz w:val="24"/>
          <w:szCs w:val="24"/>
        </w:rPr>
        <w:t>:</w:t>
      </w:r>
    </w:p>
    <w:p w:rsidR="00457F02" w:rsidRDefault="00457F02" w:rsidP="00457F02">
      <w:pPr>
        <w:pStyle w:val="Paragrafoelenco"/>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conoscibilità dell’esito dei giudizi nei diversi gradi (vedi le esperienze romane relative al sistema SERFIND; risorse interne al PCT</w:t>
      </w:r>
      <w:r w:rsidR="003C087C">
        <w:rPr>
          <w:rFonts w:ascii="Times New Roman" w:hAnsi="Times New Roman" w:cs="Times New Roman"/>
          <w:sz w:val="24"/>
          <w:szCs w:val="24"/>
        </w:rPr>
        <w:t>, sviluppo della consolle</w:t>
      </w:r>
      <w:r>
        <w:rPr>
          <w:rFonts w:ascii="Times New Roman" w:hAnsi="Times New Roman" w:cs="Times New Roman"/>
          <w:sz w:val="24"/>
          <w:szCs w:val="24"/>
        </w:rPr>
        <w:t>)</w:t>
      </w:r>
    </w:p>
    <w:p w:rsidR="00457F02" w:rsidRDefault="00457F02" w:rsidP="00457F02">
      <w:pPr>
        <w:pStyle w:val="Paragrafoelenco"/>
        <w:numPr>
          <w:ilvl w:val="0"/>
          <w:numId w:val="3"/>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dialogo tra primo e secondo grado affidato alla Formazione decentrata della SSM (vedi relazione DI FLORIO 6.7.2016)</w:t>
      </w:r>
    </w:p>
    <w:p w:rsidR="00457F02" w:rsidRDefault="00457F02" w:rsidP="00457F02">
      <w:pPr>
        <w:pStyle w:val="Paragrafoelenco"/>
        <w:numPr>
          <w:ilvl w:val="0"/>
          <w:numId w:val="3"/>
        </w:numPr>
        <w:spacing w:before="120" w:after="120" w:line="240" w:lineRule="auto"/>
        <w:contextualSpacing w:val="0"/>
        <w:jc w:val="both"/>
        <w:rPr>
          <w:rFonts w:ascii="Times New Roman" w:hAnsi="Times New Roman" w:cs="Times New Roman"/>
          <w:sz w:val="24"/>
          <w:szCs w:val="24"/>
        </w:rPr>
      </w:pPr>
      <w:r w:rsidRPr="00457F02">
        <w:rPr>
          <w:rFonts w:ascii="Times New Roman" w:hAnsi="Times New Roman" w:cs="Times New Roman"/>
          <w:sz w:val="24"/>
          <w:szCs w:val="24"/>
        </w:rPr>
        <w:t xml:space="preserve">sviluppi </w:t>
      </w:r>
      <w:r>
        <w:rPr>
          <w:rFonts w:ascii="Times New Roman" w:hAnsi="Times New Roman" w:cs="Times New Roman"/>
          <w:sz w:val="24"/>
          <w:szCs w:val="24"/>
        </w:rPr>
        <w:t>della iniziativa del Procura</w:t>
      </w:r>
      <w:r w:rsidR="00C972E1">
        <w:rPr>
          <w:rFonts w:ascii="Times New Roman" w:hAnsi="Times New Roman" w:cs="Times New Roman"/>
          <w:sz w:val="24"/>
          <w:szCs w:val="24"/>
        </w:rPr>
        <w:t>tore G</w:t>
      </w:r>
      <w:r>
        <w:rPr>
          <w:rFonts w:ascii="Times New Roman" w:hAnsi="Times New Roman" w:cs="Times New Roman"/>
          <w:sz w:val="24"/>
          <w:szCs w:val="24"/>
        </w:rPr>
        <w:t xml:space="preserve">enerale della Corte di Cassazione ex art.363 </w:t>
      </w:r>
      <w:proofErr w:type="spellStart"/>
      <w:r>
        <w:rPr>
          <w:rFonts w:ascii="Times New Roman" w:hAnsi="Times New Roman" w:cs="Times New Roman"/>
          <w:sz w:val="24"/>
          <w:szCs w:val="24"/>
        </w:rPr>
        <w:t>cpc</w:t>
      </w:r>
      <w:proofErr w:type="spellEnd"/>
      <w:r w:rsidR="00C972E1">
        <w:rPr>
          <w:rFonts w:ascii="Times New Roman" w:hAnsi="Times New Roman" w:cs="Times New Roman"/>
          <w:sz w:val="24"/>
          <w:szCs w:val="24"/>
        </w:rPr>
        <w:t xml:space="preserve"> (vedi missiva 2.5.2017 del Procuratore Generale</w:t>
      </w:r>
      <w:r w:rsidR="003C087C">
        <w:rPr>
          <w:rFonts w:ascii="Times New Roman" w:hAnsi="Times New Roman" w:cs="Times New Roman"/>
          <w:sz w:val="24"/>
          <w:szCs w:val="24"/>
        </w:rPr>
        <w:t xml:space="preserve"> e commenti COSTANTINO RUFFINI</w:t>
      </w:r>
      <w:r w:rsidR="00C972E1">
        <w:rPr>
          <w:rFonts w:ascii="Times New Roman" w:hAnsi="Times New Roman" w:cs="Times New Roman"/>
          <w:sz w:val="24"/>
          <w:szCs w:val="24"/>
        </w:rPr>
        <w:t>)</w:t>
      </w:r>
    </w:p>
    <w:p w:rsidR="00016E41" w:rsidRDefault="00C972E1" w:rsidP="00016E41">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più in generale, </w:t>
      </w:r>
      <w:r w:rsidRPr="00C972E1">
        <w:rPr>
          <w:rFonts w:ascii="Times New Roman" w:hAnsi="Times New Roman" w:cs="Times New Roman"/>
          <w:sz w:val="24"/>
          <w:szCs w:val="24"/>
          <w:u w:val="single"/>
        </w:rPr>
        <w:t>quanto alla esigenza di una nomofilachia “consolidata”</w:t>
      </w:r>
      <w:r w:rsidR="00467D99">
        <w:rPr>
          <w:rFonts w:ascii="Times New Roman" w:hAnsi="Times New Roman" w:cs="Times New Roman"/>
          <w:sz w:val="24"/>
          <w:szCs w:val="24"/>
          <w:u w:val="single"/>
        </w:rPr>
        <w:t>, anche se non “statica”</w:t>
      </w:r>
      <w:r>
        <w:rPr>
          <w:rFonts w:ascii="Times New Roman" w:hAnsi="Times New Roman" w:cs="Times New Roman"/>
          <w:sz w:val="24"/>
          <w:szCs w:val="24"/>
        </w:rPr>
        <w:t>:</w:t>
      </w:r>
    </w:p>
    <w:p w:rsidR="00C972E1" w:rsidRDefault="00C972E1" w:rsidP="00C972E1">
      <w:pPr>
        <w:pStyle w:val="Paragrafoelenco"/>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soluzioni organizzative interne alla Cassazione volte ad evitare contrasti inconsapevoli</w:t>
      </w:r>
      <w:r w:rsidR="00E00428">
        <w:rPr>
          <w:rFonts w:ascii="Times New Roman" w:hAnsi="Times New Roman" w:cs="Times New Roman"/>
          <w:sz w:val="24"/>
          <w:szCs w:val="24"/>
        </w:rPr>
        <w:t>:</w:t>
      </w:r>
    </w:p>
    <w:p w:rsidR="00C972E1" w:rsidRDefault="00C972E1" w:rsidP="00C972E1">
      <w:pPr>
        <w:pStyle w:val="Paragrafoelenco"/>
        <w:numPr>
          <w:ilvl w:val="1"/>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funzionamento del massimario</w:t>
      </w:r>
    </w:p>
    <w:p w:rsidR="00467D99" w:rsidRPr="00467D99" w:rsidRDefault="00467D99" w:rsidP="00467D99">
      <w:pPr>
        <w:pStyle w:val="Paragrafoelenco"/>
        <w:numPr>
          <w:ilvl w:val="1"/>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massime c.d. </w:t>
      </w:r>
      <w:proofErr w:type="spellStart"/>
      <w:r w:rsidRPr="00C972E1">
        <w:rPr>
          <w:rFonts w:ascii="Times New Roman" w:hAnsi="Times New Roman" w:cs="Times New Roman"/>
          <w:i/>
          <w:sz w:val="24"/>
          <w:szCs w:val="24"/>
        </w:rPr>
        <w:t>certalex</w:t>
      </w:r>
      <w:proofErr w:type="spellEnd"/>
    </w:p>
    <w:p w:rsidR="00C972E1" w:rsidRPr="002834AE" w:rsidRDefault="00C972E1" w:rsidP="00C972E1">
      <w:pPr>
        <w:pStyle w:val="Paragrafoelenco"/>
        <w:numPr>
          <w:ilvl w:val="1"/>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specializzazione e</w:t>
      </w:r>
      <w:r w:rsidR="003C087C">
        <w:rPr>
          <w:rFonts w:ascii="Times New Roman" w:hAnsi="Times New Roman" w:cs="Times New Roman"/>
          <w:sz w:val="24"/>
          <w:szCs w:val="24"/>
        </w:rPr>
        <w:t>x</w:t>
      </w:r>
      <w:r>
        <w:rPr>
          <w:rFonts w:ascii="Times New Roman" w:hAnsi="Times New Roman" w:cs="Times New Roman"/>
          <w:sz w:val="24"/>
          <w:szCs w:val="24"/>
        </w:rPr>
        <w:t xml:space="preserve"> art.244 circolare CSM tabelle di organizzazione 2017/2019 </w:t>
      </w:r>
      <w:r w:rsidR="003C087C">
        <w:rPr>
          <w:rFonts w:ascii="Times New Roman" w:hAnsi="Times New Roman" w:cs="Times New Roman"/>
          <w:sz w:val="24"/>
          <w:szCs w:val="24"/>
        </w:rPr>
        <w:t>(</w:t>
      </w:r>
      <w:r w:rsidR="00654C50">
        <w:rPr>
          <w:rFonts w:ascii="Times New Roman" w:hAnsi="Times New Roman" w:cs="Times New Roman"/>
          <w:sz w:val="24"/>
          <w:szCs w:val="24"/>
        </w:rPr>
        <w:t xml:space="preserve">dalla relazione illustrativa del 25.1.2017: </w:t>
      </w:r>
      <w:r w:rsidR="003C087C">
        <w:rPr>
          <w:rFonts w:ascii="Times New Roman" w:hAnsi="Times New Roman" w:cs="Times New Roman"/>
          <w:sz w:val="24"/>
          <w:szCs w:val="24"/>
        </w:rPr>
        <w:t>“</w:t>
      </w:r>
      <w:r w:rsidR="003C087C">
        <w:t>Il Consiglio reputa essere particolarmente efficace specie per il giudice della nomofilachia il metodo della specializzazione perché riduce i tempi processuali, assicura una maggiore certezza giurisprudenziale e limita il rischio di contrasti inconsapevoli. Su tale presupposto, la circolare prevede che, all’interno della sezione, siano individuate aree omogenee di competenza specifica per le quali ciascun relatore fornisce indicazione di preferenza da</w:t>
      </w:r>
      <w:r w:rsidR="003C087C">
        <w:t xml:space="preserve"> utilizzare nel periodo di vigenza della tabella”</w:t>
      </w:r>
      <w:r w:rsidR="00654C50">
        <w:t>)</w:t>
      </w:r>
    </w:p>
    <w:p w:rsidR="002834AE" w:rsidRPr="002834AE" w:rsidRDefault="002834AE" w:rsidP="002834AE">
      <w:pPr>
        <w:pStyle w:val="Paragrafoelenco"/>
        <w:numPr>
          <w:ilvl w:val="1"/>
          <w:numId w:val="4"/>
        </w:numPr>
        <w:spacing w:before="120" w:after="120" w:line="240" w:lineRule="auto"/>
        <w:ind w:left="1434" w:hanging="357"/>
        <w:contextualSpacing w:val="0"/>
        <w:jc w:val="both"/>
        <w:rPr>
          <w:rFonts w:ascii="Times New Roman" w:hAnsi="Times New Roman" w:cs="Times New Roman"/>
        </w:rPr>
      </w:pPr>
      <w:r>
        <w:rPr>
          <w:rFonts w:ascii="Times New Roman" w:hAnsi="Times New Roman" w:cs="Times New Roman"/>
          <w:sz w:val="24"/>
          <w:szCs w:val="24"/>
        </w:rPr>
        <w:t xml:space="preserve">recenti </w:t>
      </w:r>
      <w:r w:rsidRPr="002834AE">
        <w:rPr>
          <w:rFonts w:ascii="Times New Roman" w:hAnsi="Times New Roman" w:cs="Times New Roman"/>
          <w:sz w:val="24"/>
          <w:szCs w:val="24"/>
        </w:rPr>
        <w:t>provvedimenti organizzativi g</w:t>
      </w:r>
      <w:r>
        <w:rPr>
          <w:rFonts w:ascii="Times New Roman" w:hAnsi="Times New Roman" w:cs="Times New Roman"/>
          <w:sz w:val="24"/>
          <w:szCs w:val="24"/>
        </w:rPr>
        <w:t xml:space="preserve">enerali </w:t>
      </w:r>
      <w:r w:rsidRPr="002834AE">
        <w:rPr>
          <w:rFonts w:ascii="Times New Roman" w:hAnsi="Times New Roman" w:cs="Times New Roman"/>
          <w:sz w:val="24"/>
          <w:szCs w:val="24"/>
        </w:rPr>
        <w:t xml:space="preserve"> </w:t>
      </w:r>
      <w:r w:rsidRPr="002834AE">
        <w:rPr>
          <w:rFonts w:ascii="Times New Roman" w:hAnsi="Times New Roman" w:cs="Times New Roman"/>
        </w:rPr>
        <w:t>(Protocollo 17 dicembre 2015;</w:t>
      </w:r>
      <w:r>
        <w:rPr>
          <w:rFonts w:ascii="Times New Roman" w:hAnsi="Times New Roman" w:cs="Times New Roman"/>
        </w:rPr>
        <w:t xml:space="preserve"> </w:t>
      </w:r>
      <w:r w:rsidRPr="002834AE">
        <w:rPr>
          <w:rFonts w:ascii="Times New Roman" w:hAnsi="Times New Roman" w:cs="Times New Roman"/>
        </w:rPr>
        <w:t xml:space="preserve">Primo Presidente, 22 aprile 2016: </w:t>
      </w:r>
      <w:r w:rsidRPr="002834AE">
        <w:rPr>
          <w:rFonts w:ascii="Times New Roman" w:hAnsi="Times New Roman" w:cs="Times New Roman"/>
          <w:i/>
          <w:iCs/>
        </w:rPr>
        <w:t>Documento programmatico sulla VI sezione civile</w:t>
      </w:r>
      <w:r w:rsidRPr="002834AE">
        <w:rPr>
          <w:rFonts w:ascii="Times New Roman" w:hAnsi="Times New Roman" w:cs="Times New Roman"/>
        </w:rPr>
        <w:t xml:space="preserve">; Primo Presidente, 14 settembre 2016: </w:t>
      </w:r>
      <w:r w:rsidRPr="002834AE">
        <w:rPr>
          <w:rFonts w:ascii="Times New Roman" w:hAnsi="Times New Roman" w:cs="Times New Roman"/>
          <w:i/>
          <w:iCs/>
        </w:rPr>
        <w:t>La motivazione sintetica</w:t>
      </w:r>
      <w:r w:rsidRPr="002834AE">
        <w:rPr>
          <w:rFonts w:ascii="Times New Roman" w:hAnsi="Times New Roman" w:cs="Times New Roman"/>
        </w:rPr>
        <w:t>)</w:t>
      </w:r>
    </w:p>
    <w:p w:rsidR="00467D99" w:rsidRDefault="00467D99" w:rsidP="00467D99">
      <w:pPr>
        <w:pStyle w:val="Paragrafoelenco"/>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rilevanza delle ricadute applicative degli orientamenti di legittimità nei gradi di merito (cfr. recente iniziativa dell’Ordine degli avvocati di Roma 4.2.2017)</w:t>
      </w:r>
    </w:p>
    <w:p w:rsidR="00654C50" w:rsidRDefault="00654C50" w:rsidP="00467D99">
      <w:pPr>
        <w:pStyle w:val="Paragrafoelenco"/>
        <w:numPr>
          <w:ilvl w:val="0"/>
          <w:numId w:val="4"/>
        </w:numPr>
        <w:spacing w:before="120" w:after="12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momenti formativi comuni tra giudici di merito e di legittimità</w:t>
      </w:r>
    </w:p>
    <w:p w:rsidR="00467D99" w:rsidRPr="00654C50" w:rsidRDefault="003C087C" w:rsidP="00EA61BF">
      <w:pPr>
        <w:spacing w:before="360" w:after="120" w:line="240" w:lineRule="auto"/>
        <w:jc w:val="center"/>
        <w:rPr>
          <w:rFonts w:ascii="Times New Roman" w:hAnsi="Times New Roman" w:cs="Times New Roman"/>
          <w:i/>
          <w:sz w:val="24"/>
          <w:szCs w:val="24"/>
        </w:rPr>
      </w:pPr>
      <w:r w:rsidRPr="003C087C">
        <w:rPr>
          <w:rFonts w:ascii="Times New Roman" w:hAnsi="Times New Roman" w:cs="Times New Roman"/>
          <w:i/>
          <w:sz w:val="24"/>
          <w:szCs w:val="24"/>
        </w:rPr>
        <w:t>i materiali citati sono tutti reperibili sul sito del Tribunale di Roma alla voce Osservatorio, http://www.tribunale.roma.giustizia.it/osservatorio_giustizia_civile.aspx</w:t>
      </w:r>
    </w:p>
    <w:sectPr w:rsidR="00467D99" w:rsidRPr="00654C50">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75" w:rsidRDefault="00F24975" w:rsidP="003C087C">
      <w:pPr>
        <w:spacing w:after="0" w:line="240" w:lineRule="auto"/>
      </w:pPr>
      <w:r>
        <w:separator/>
      </w:r>
    </w:p>
  </w:endnote>
  <w:endnote w:type="continuationSeparator" w:id="0">
    <w:p w:rsidR="00F24975" w:rsidRDefault="00F24975" w:rsidP="003C0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65310"/>
      <w:docPartObj>
        <w:docPartGallery w:val="Page Numbers (Bottom of Page)"/>
        <w:docPartUnique/>
      </w:docPartObj>
    </w:sdtPr>
    <w:sdtContent>
      <w:p w:rsidR="003C087C" w:rsidRDefault="003C087C">
        <w:pPr>
          <w:pStyle w:val="Pidipagina"/>
          <w:jc w:val="center"/>
        </w:pPr>
        <w:r>
          <w:fldChar w:fldCharType="begin"/>
        </w:r>
        <w:r>
          <w:instrText>PAGE   \* MERGEFORMAT</w:instrText>
        </w:r>
        <w:r>
          <w:fldChar w:fldCharType="separate"/>
        </w:r>
        <w:r w:rsidR="00174EBE">
          <w:rPr>
            <w:noProof/>
          </w:rPr>
          <w:t>2</w:t>
        </w:r>
        <w:r>
          <w:fldChar w:fldCharType="end"/>
        </w:r>
      </w:p>
    </w:sdtContent>
  </w:sdt>
  <w:p w:rsidR="003C087C" w:rsidRDefault="003C08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75" w:rsidRDefault="00F24975" w:rsidP="003C087C">
      <w:pPr>
        <w:spacing w:after="0" w:line="240" w:lineRule="auto"/>
      </w:pPr>
      <w:r>
        <w:separator/>
      </w:r>
    </w:p>
  </w:footnote>
  <w:footnote w:type="continuationSeparator" w:id="0">
    <w:p w:rsidR="00F24975" w:rsidRDefault="00F24975" w:rsidP="003C08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2D7"/>
    <w:multiLevelType w:val="hybridMultilevel"/>
    <w:tmpl w:val="DAF8E98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A69690A"/>
    <w:multiLevelType w:val="hybridMultilevel"/>
    <w:tmpl w:val="99469C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7B2FDD"/>
    <w:multiLevelType w:val="hybridMultilevel"/>
    <w:tmpl w:val="E506C4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A5130CA"/>
    <w:multiLevelType w:val="hybridMultilevel"/>
    <w:tmpl w:val="FA22A2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DD2874"/>
    <w:multiLevelType w:val="hybridMultilevel"/>
    <w:tmpl w:val="69EAA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41"/>
    <w:rsid w:val="00016E41"/>
    <w:rsid w:val="00174EBE"/>
    <w:rsid w:val="0025357C"/>
    <w:rsid w:val="002834AE"/>
    <w:rsid w:val="003C087C"/>
    <w:rsid w:val="00457F02"/>
    <w:rsid w:val="00467D99"/>
    <w:rsid w:val="00654C50"/>
    <w:rsid w:val="00863351"/>
    <w:rsid w:val="00C972E1"/>
    <w:rsid w:val="00E00428"/>
    <w:rsid w:val="00EA61BF"/>
    <w:rsid w:val="00F24975"/>
    <w:rsid w:val="00F41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E4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6E41"/>
    <w:rPr>
      <w:color w:val="0000FF" w:themeColor="hyperlink"/>
      <w:u w:val="single"/>
    </w:rPr>
  </w:style>
  <w:style w:type="paragraph" w:styleId="Testofumetto">
    <w:name w:val="Balloon Text"/>
    <w:basedOn w:val="Normale"/>
    <w:link w:val="TestofumettoCarattere"/>
    <w:uiPriority w:val="99"/>
    <w:semiHidden/>
    <w:unhideWhenUsed/>
    <w:rsid w:val="00016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E41"/>
    <w:rPr>
      <w:rFonts w:ascii="Tahoma" w:hAnsi="Tahoma" w:cs="Tahoma"/>
      <w:sz w:val="16"/>
      <w:szCs w:val="16"/>
    </w:rPr>
  </w:style>
  <w:style w:type="paragraph" w:styleId="Paragrafoelenco">
    <w:name w:val="List Paragraph"/>
    <w:basedOn w:val="Normale"/>
    <w:uiPriority w:val="34"/>
    <w:qFormat/>
    <w:rsid w:val="00457F02"/>
    <w:pPr>
      <w:ind w:left="720"/>
      <w:contextualSpacing/>
    </w:pPr>
  </w:style>
  <w:style w:type="paragraph" w:styleId="Intestazione">
    <w:name w:val="header"/>
    <w:basedOn w:val="Normale"/>
    <w:link w:val="IntestazioneCarattere"/>
    <w:uiPriority w:val="99"/>
    <w:unhideWhenUsed/>
    <w:rsid w:val="003C08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087C"/>
  </w:style>
  <w:style w:type="paragraph" w:styleId="Pidipagina">
    <w:name w:val="footer"/>
    <w:basedOn w:val="Normale"/>
    <w:link w:val="PidipaginaCarattere"/>
    <w:uiPriority w:val="99"/>
    <w:unhideWhenUsed/>
    <w:rsid w:val="003C08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0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6E4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16E41"/>
    <w:rPr>
      <w:color w:val="0000FF" w:themeColor="hyperlink"/>
      <w:u w:val="single"/>
    </w:rPr>
  </w:style>
  <w:style w:type="paragraph" w:styleId="Testofumetto">
    <w:name w:val="Balloon Text"/>
    <w:basedOn w:val="Normale"/>
    <w:link w:val="TestofumettoCarattere"/>
    <w:uiPriority w:val="99"/>
    <w:semiHidden/>
    <w:unhideWhenUsed/>
    <w:rsid w:val="00016E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E41"/>
    <w:rPr>
      <w:rFonts w:ascii="Tahoma" w:hAnsi="Tahoma" w:cs="Tahoma"/>
      <w:sz w:val="16"/>
      <w:szCs w:val="16"/>
    </w:rPr>
  </w:style>
  <w:style w:type="paragraph" w:styleId="Paragrafoelenco">
    <w:name w:val="List Paragraph"/>
    <w:basedOn w:val="Normale"/>
    <w:uiPriority w:val="34"/>
    <w:qFormat/>
    <w:rsid w:val="00457F02"/>
    <w:pPr>
      <w:ind w:left="720"/>
      <w:contextualSpacing/>
    </w:pPr>
  </w:style>
  <w:style w:type="paragraph" w:styleId="Intestazione">
    <w:name w:val="header"/>
    <w:basedOn w:val="Normale"/>
    <w:link w:val="IntestazioneCarattere"/>
    <w:uiPriority w:val="99"/>
    <w:unhideWhenUsed/>
    <w:rsid w:val="003C08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087C"/>
  </w:style>
  <w:style w:type="paragraph" w:styleId="Pidipagina">
    <w:name w:val="footer"/>
    <w:basedOn w:val="Normale"/>
    <w:link w:val="PidipaginaCarattere"/>
    <w:uiPriority w:val="99"/>
    <w:unhideWhenUsed/>
    <w:rsid w:val="003C08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894</Words>
  <Characters>5096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 Crugnola Elena</dc:creator>
  <cp:lastModifiedBy>Riva Crugnola Elena</cp:lastModifiedBy>
  <cp:revision>3</cp:revision>
  <cp:lastPrinted>2017-05-18T19:02:00Z</cp:lastPrinted>
  <dcterms:created xsi:type="dcterms:W3CDTF">2017-05-18T17:47:00Z</dcterms:created>
  <dcterms:modified xsi:type="dcterms:W3CDTF">2017-05-18T19:01:00Z</dcterms:modified>
</cp:coreProperties>
</file>