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00D" w:rsidRDefault="0095000D" w:rsidP="0095000D">
      <w:pPr>
        <w:spacing w:after="0" w:line="240" w:lineRule="auto"/>
        <w:jc w:val="center"/>
        <w:rPr>
          <w:rFonts w:ascii="Times New Roman" w:hAnsi="Times New Roman" w:cs="Times New Roman"/>
          <w:b/>
          <w:color w:val="C45911" w:themeColor="accent2" w:themeShade="BF"/>
          <w:sz w:val="28"/>
          <w:szCs w:val="28"/>
          <w:u w:val="single"/>
        </w:rPr>
      </w:pPr>
      <w:r>
        <w:rPr>
          <w:noProof/>
        </w:rPr>
        <w:drawing>
          <wp:inline distT="0" distB="0" distL="0" distR="0" wp14:anchorId="4EDBAE0A" wp14:editId="5CB0952A">
            <wp:extent cx="3714750" cy="1200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0" cy="1200150"/>
                    </a:xfrm>
                    <a:prstGeom prst="rect">
                      <a:avLst/>
                    </a:prstGeom>
                    <a:noFill/>
                    <a:ln>
                      <a:noFill/>
                    </a:ln>
                  </pic:spPr>
                </pic:pic>
              </a:graphicData>
            </a:graphic>
          </wp:inline>
        </w:drawing>
      </w:r>
    </w:p>
    <w:p w:rsidR="0095000D" w:rsidRDefault="0095000D" w:rsidP="0095000D">
      <w:pPr>
        <w:spacing w:after="0" w:line="240" w:lineRule="auto"/>
        <w:jc w:val="center"/>
        <w:rPr>
          <w:rFonts w:ascii="Times New Roman" w:hAnsi="Times New Roman" w:cs="Times New Roman"/>
          <w:b/>
          <w:color w:val="C45911" w:themeColor="accent2" w:themeShade="BF"/>
          <w:sz w:val="24"/>
          <w:szCs w:val="24"/>
          <w:u w:val="single"/>
        </w:rPr>
      </w:pPr>
    </w:p>
    <w:p w:rsidR="0095000D" w:rsidRPr="003B0AFB" w:rsidRDefault="0095000D" w:rsidP="0095000D">
      <w:pPr>
        <w:spacing w:after="0" w:line="240" w:lineRule="auto"/>
        <w:jc w:val="center"/>
        <w:rPr>
          <w:rFonts w:ascii="Times New Roman" w:hAnsi="Times New Roman" w:cs="Times New Roman"/>
          <w:b/>
          <w:color w:val="C45911" w:themeColor="accent2" w:themeShade="BF"/>
          <w:sz w:val="24"/>
          <w:szCs w:val="24"/>
          <w:u w:val="single"/>
        </w:rPr>
      </w:pPr>
      <w:r w:rsidRPr="003B0AFB">
        <w:rPr>
          <w:rFonts w:ascii="Times New Roman" w:hAnsi="Times New Roman" w:cs="Times New Roman"/>
          <w:b/>
          <w:color w:val="C45911" w:themeColor="accent2" w:themeShade="BF"/>
          <w:sz w:val="24"/>
          <w:szCs w:val="24"/>
          <w:u w:val="single"/>
        </w:rPr>
        <w:t>XIII ASSEMBLEA NAZIONALE DEGLI OSSERVATORI SULLA GIUSTIZIA CIVILE</w:t>
      </w:r>
    </w:p>
    <w:p w:rsidR="0095000D" w:rsidRPr="003B0AFB" w:rsidRDefault="0095000D" w:rsidP="0095000D">
      <w:pPr>
        <w:spacing w:after="0" w:line="240" w:lineRule="auto"/>
        <w:jc w:val="center"/>
        <w:rPr>
          <w:rFonts w:ascii="Times New Roman" w:hAnsi="Times New Roman" w:cs="Times New Roman"/>
          <w:b/>
          <w:color w:val="C45911" w:themeColor="accent2" w:themeShade="BF"/>
          <w:sz w:val="24"/>
          <w:szCs w:val="24"/>
          <w:u w:val="single"/>
        </w:rPr>
      </w:pPr>
    </w:p>
    <w:p w:rsidR="0095000D" w:rsidRDefault="0095000D" w:rsidP="0095000D">
      <w:pPr>
        <w:spacing w:after="0" w:line="240" w:lineRule="auto"/>
        <w:jc w:val="center"/>
        <w:rPr>
          <w:rFonts w:ascii="Times New Roman" w:hAnsi="Times New Roman" w:cs="Times New Roman"/>
          <w:b/>
          <w:color w:val="538135" w:themeColor="accent6" w:themeShade="BF"/>
          <w:sz w:val="18"/>
          <w:szCs w:val="18"/>
          <w:u w:val="single"/>
        </w:rPr>
      </w:pPr>
      <w:r>
        <w:rPr>
          <w:rFonts w:ascii="Times New Roman" w:hAnsi="Times New Roman" w:cs="Times New Roman"/>
          <w:b/>
          <w:color w:val="538135" w:themeColor="accent6" w:themeShade="BF"/>
          <w:sz w:val="18"/>
          <w:szCs w:val="18"/>
          <w:u w:val="single"/>
        </w:rPr>
        <w:t>EQUILIBRIO TRA PROCESSO E AUTONOMIA PRIVATA</w:t>
      </w:r>
      <w:r w:rsidRPr="003B0AFB">
        <w:rPr>
          <w:rFonts w:ascii="Times New Roman" w:hAnsi="Times New Roman" w:cs="Times New Roman"/>
          <w:b/>
          <w:color w:val="538135" w:themeColor="accent6" w:themeShade="BF"/>
          <w:sz w:val="18"/>
          <w:szCs w:val="18"/>
          <w:u w:val="single"/>
        </w:rPr>
        <w:t>, Reggio Emilia 8, 9 e 10 giugno 2018</w:t>
      </w:r>
    </w:p>
    <w:p w:rsidR="0095000D" w:rsidRDefault="0095000D" w:rsidP="0095000D">
      <w:pPr>
        <w:spacing w:after="0" w:line="240" w:lineRule="auto"/>
        <w:jc w:val="center"/>
        <w:rPr>
          <w:rFonts w:ascii="Times New Roman" w:hAnsi="Times New Roman" w:cs="Times New Roman"/>
          <w:b/>
          <w:color w:val="538135" w:themeColor="accent6" w:themeShade="BF"/>
          <w:sz w:val="18"/>
          <w:szCs w:val="18"/>
          <w:u w:val="single"/>
        </w:rPr>
      </w:pPr>
    </w:p>
    <w:p w:rsidR="0095000D" w:rsidRDefault="0095000D" w:rsidP="0095000D">
      <w:pPr>
        <w:spacing w:after="0" w:line="240" w:lineRule="auto"/>
        <w:jc w:val="center"/>
        <w:rPr>
          <w:rFonts w:ascii="Times New Roman" w:hAnsi="Times New Roman" w:cs="Times New Roman"/>
          <w:b/>
          <w:color w:val="7030A0"/>
          <w:sz w:val="28"/>
          <w:szCs w:val="28"/>
          <w:u w:val="single"/>
        </w:rPr>
      </w:pPr>
    </w:p>
    <w:p w:rsidR="0095000D" w:rsidRDefault="0095000D" w:rsidP="0095000D">
      <w:pPr>
        <w:spacing w:after="0" w:line="240" w:lineRule="auto"/>
        <w:jc w:val="center"/>
        <w:rPr>
          <w:rFonts w:ascii="Times New Roman" w:hAnsi="Times New Roman" w:cs="Times New Roman"/>
          <w:b/>
          <w:color w:val="7030A0"/>
          <w:sz w:val="28"/>
          <w:szCs w:val="28"/>
          <w:u w:val="single"/>
        </w:rPr>
      </w:pPr>
    </w:p>
    <w:p w:rsidR="0095000D" w:rsidRPr="001369F6" w:rsidRDefault="0095000D" w:rsidP="0095000D">
      <w:pPr>
        <w:spacing w:after="0" w:line="240" w:lineRule="auto"/>
        <w:jc w:val="center"/>
        <w:rPr>
          <w:rFonts w:ascii="Times New Roman" w:hAnsi="Times New Roman" w:cs="Times New Roman"/>
          <w:b/>
          <w:color w:val="7030A0"/>
          <w:sz w:val="28"/>
          <w:szCs w:val="28"/>
          <w:u w:val="single"/>
        </w:rPr>
      </w:pPr>
      <w:r w:rsidRPr="001369F6">
        <w:rPr>
          <w:rFonts w:ascii="Times New Roman" w:hAnsi="Times New Roman" w:cs="Times New Roman"/>
          <w:b/>
          <w:color w:val="7030A0"/>
          <w:sz w:val="28"/>
          <w:szCs w:val="28"/>
          <w:u w:val="single"/>
        </w:rPr>
        <w:t>SCHEDA PREPARATORIA</w:t>
      </w:r>
    </w:p>
    <w:p w:rsidR="0095000D" w:rsidRPr="001369F6" w:rsidRDefault="0095000D" w:rsidP="0095000D">
      <w:pPr>
        <w:spacing w:after="0" w:line="240" w:lineRule="auto"/>
        <w:jc w:val="center"/>
        <w:rPr>
          <w:rFonts w:ascii="Times New Roman" w:hAnsi="Times New Roman" w:cs="Times New Roman"/>
          <w:b/>
          <w:color w:val="7030A0"/>
          <w:sz w:val="18"/>
          <w:szCs w:val="18"/>
          <w:u w:val="single"/>
        </w:rPr>
      </w:pPr>
    </w:p>
    <w:p w:rsidR="0095000D" w:rsidRDefault="0095000D" w:rsidP="0095000D">
      <w:pPr>
        <w:spacing w:after="0" w:line="240" w:lineRule="auto"/>
        <w:jc w:val="center"/>
        <w:rPr>
          <w:rFonts w:ascii="Times New Roman" w:hAnsi="Times New Roman" w:cs="Times New Roman"/>
          <w:b/>
          <w:smallCaps/>
          <w:color w:val="7030A0"/>
          <w:sz w:val="26"/>
          <w:szCs w:val="26"/>
        </w:rPr>
      </w:pPr>
      <w:r w:rsidRPr="001369F6">
        <w:rPr>
          <w:rFonts w:ascii="Times New Roman" w:hAnsi="Times New Roman" w:cs="Times New Roman"/>
          <w:b/>
          <w:smallCaps/>
          <w:color w:val="7030A0"/>
          <w:sz w:val="26"/>
          <w:szCs w:val="26"/>
        </w:rPr>
        <w:t xml:space="preserve">gruppo </w:t>
      </w:r>
      <w:r>
        <w:rPr>
          <w:rFonts w:ascii="Times New Roman" w:hAnsi="Times New Roman" w:cs="Times New Roman"/>
          <w:b/>
          <w:smallCaps/>
          <w:color w:val="7030A0"/>
          <w:sz w:val="26"/>
          <w:szCs w:val="26"/>
        </w:rPr>
        <w:t>1: Prevedibilita’, predittività e umanita’ del giudicare</w:t>
      </w:r>
    </w:p>
    <w:p w:rsidR="0095000D" w:rsidRDefault="0095000D" w:rsidP="0095000D">
      <w:pPr>
        <w:spacing w:before="360" w:after="120" w:line="240" w:lineRule="auto"/>
        <w:jc w:val="both"/>
        <w:rPr>
          <w:rFonts w:ascii="Times New Roman" w:eastAsia="Palatino" w:hAnsi="Times New Roman" w:cs="Times New Roman"/>
          <w:sz w:val="24"/>
          <w:szCs w:val="24"/>
        </w:rPr>
      </w:pPr>
      <w:r>
        <w:rPr>
          <w:rFonts w:ascii="Times New Roman" w:eastAsia="Palatino" w:hAnsi="Times New Roman" w:cs="Times New Roman"/>
          <w:sz w:val="24"/>
          <w:szCs w:val="24"/>
        </w:rPr>
        <w:t xml:space="preserve">Dopo le Assemblee di Milano (2016) e Roma (2017), gli Osservatori proseguono nelle riflessioni sulla </w:t>
      </w:r>
      <w:r w:rsidRPr="00985A4C">
        <w:rPr>
          <w:rFonts w:ascii="Times New Roman" w:eastAsia="Palatino" w:hAnsi="Times New Roman" w:cs="Times New Roman"/>
          <w:b/>
          <w:sz w:val="24"/>
          <w:szCs w:val="24"/>
        </w:rPr>
        <w:t>prevedibilità delle decisioni</w:t>
      </w:r>
      <w:r>
        <w:rPr>
          <w:rFonts w:ascii="Times New Roman" w:eastAsia="Palatino" w:hAnsi="Times New Roman" w:cs="Times New Roman"/>
          <w:sz w:val="24"/>
          <w:szCs w:val="24"/>
        </w:rPr>
        <w:t xml:space="preserve"> quale </w:t>
      </w:r>
      <w:r w:rsidRPr="00985A4C">
        <w:rPr>
          <w:rFonts w:ascii="Times New Roman" w:eastAsia="Palatino" w:hAnsi="Times New Roman" w:cs="Times New Roman"/>
          <w:b/>
          <w:sz w:val="24"/>
          <w:szCs w:val="24"/>
        </w:rPr>
        <w:t>valore imprescindibile</w:t>
      </w:r>
      <w:r>
        <w:rPr>
          <w:rFonts w:ascii="Times New Roman" w:eastAsia="Palatino" w:hAnsi="Times New Roman" w:cs="Times New Roman"/>
          <w:sz w:val="24"/>
          <w:szCs w:val="24"/>
        </w:rPr>
        <w:t>, connesso al principio di uguaglianza (vedi il</w:t>
      </w:r>
      <w:r w:rsidRPr="00FA16E7">
        <w:rPr>
          <w:rFonts w:ascii="Times New Roman" w:eastAsia="Palatino" w:hAnsi="Times New Roman" w:cs="Times New Roman"/>
          <w:i/>
          <w:sz w:val="24"/>
          <w:szCs w:val="24"/>
        </w:rPr>
        <w:t xml:space="preserve"> report</w:t>
      </w:r>
      <w:r>
        <w:rPr>
          <w:rFonts w:ascii="Times New Roman" w:eastAsia="Palatino" w:hAnsi="Times New Roman" w:cs="Times New Roman"/>
          <w:sz w:val="24"/>
          <w:szCs w:val="24"/>
        </w:rPr>
        <w:t xml:space="preserve"> del gruppo di lavoro 2016</w:t>
      </w:r>
      <w:r w:rsidRPr="00FA16E7">
        <w:rPr>
          <w:rFonts w:ascii="Times New Roman" w:eastAsia="Palatino" w:hAnsi="Times New Roman" w:cs="Times New Roman"/>
          <w:i/>
          <w:sz w:val="24"/>
          <w:szCs w:val="24"/>
        </w:rPr>
        <w:t xml:space="preserve"> Diritto giurisprudenziale e prevedibilità delle decisioni: ossimoro o binomio?</w:t>
      </w:r>
      <w:r>
        <w:rPr>
          <w:rFonts w:ascii="Times New Roman" w:eastAsia="Palatino" w:hAnsi="Times New Roman" w:cs="Times New Roman"/>
          <w:sz w:val="24"/>
          <w:szCs w:val="24"/>
        </w:rPr>
        <w:t xml:space="preserve">), e </w:t>
      </w:r>
      <w:r w:rsidRPr="00985A4C">
        <w:rPr>
          <w:rFonts w:ascii="Times New Roman" w:eastAsia="Palatino" w:hAnsi="Times New Roman" w:cs="Times New Roman"/>
          <w:b/>
          <w:sz w:val="24"/>
          <w:szCs w:val="24"/>
        </w:rPr>
        <w:t>la cui attuazione dipende da misure organizzative</w:t>
      </w:r>
      <w:r>
        <w:rPr>
          <w:rFonts w:ascii="Times New Roman" w:eastAsia="Palatino" w:hAnsi="Times New Roman" w:cs="Times New Roman"/>
          <w:sz w:val="24"/>
          <w:szCs w:val="24"/>
        </w:rPr>
        <w:t xml:space="preserve"> quali la diffusa e piena conoscibilità di tutti i precedenti di merito, le riunioni di sezione ex art.47quater O.G., la creazione di una rete al servizio della nomofilachia che permetta di far emergere le questioni da trattare con priorità per il loro impatto ricorrente nei gradi di merito (vedi il</w:t>
      </w:r>
      <w:r w:rsidRPr="00FA16E7">
        <w:rPr>
          <w:rFonts w:ascii="Times New Roman" w:eastAsia="Palatino" w:hAnsi="Times New Roman" w:cs="Times New Roman"/>
          <w:i/>
          <w:sz w:val="24"/>
          <w:szCs w:val="24"/>
        </w:rPr>
        <w:t xml:space="preserve"> report</w:t>
      </w:r>
      <w:r>
        <w:rPr>
          <w:rFonts w:ascii="Times New Roman" w:eastAsia="Palatino" w:hAnsi="Times New Roman" w:cs="Times New Roman"/>
          <w:sz w:val="24"/>
          <w:szCs w:val="24"/>
        </w:rPr>
        <w:t xml:space="preserve"> del gruppo di lavoro 2017</w:t>
      </w:r>
      <w:r w:rsidRPr="00FA16E7">
        <w:rPr>
          <w:rFonts w:ascii="Times New Roman" w:eastAsia="Palatino" w:hAnsi="Times New Roman" w:cs="Times New Roman"/>
          <w:i/>
          <w:sz w:val="24"/>
          <w:szCs w:val="24"/>
        </w:rPr>
        <w:t xml:space="preserve"> </w:t>
      </w:r>
      <w:r>
        <w:rPr>
          <w:rFonts w:ascii="Times New Roman" w:eastAsia="Palatino" w:hAnsi="Times New Roman" w:cs="Times New Roman"/>
          <w:i/>
          <w:sz w:val="24"/>
          <w:szCs w:val="24"/>
        </w:rPr>
        <w:t>Prevedibilità delle decisioni e dialogo fra i diversi gradi della giurisdizione</w:t>
      </w:r>
      <w:r>
        <w:rPr>
          <w:rFonts w:ascii="Times New Roman" w:eastAsia="Palatino" w:hAnsi="Times New Roman" w:cs="Times New Roman"/>
          <w:sz w:val="24"/>
          <w:szCs w:val="24"/>
        </w:rPr>
        <w:t>).</w:t>
      </w:r>
    </w:p>
    <w:p w:rsidR="0095000D" w:rsidRDefault="0095000D" w:rsidP="0095000D">
      <w:pPr>
        <w:spacing w:before="120" w:after="120" w:line="240" w:lineRule="auto"/>
        <w:jc w:val="both"/>
        <w:rPr>
          <w:rFonts w:ascii="Times New Roman" w:eastAsia="Palatino" w:hAnsi="Times New Roman" w:cs="Times New Roman"/>
          <w:sz w:val="24"/>
          <w:szCs w:val="24"/>
        </w:rPr>
      </w:pPr>
      <w:r>
        <w:rPr>
          <w:rFonts w:ascii="Times New Roman" w:eastAsia="Palatino" w:hAnsi="Times New Roman" w:cs="Times New Roman"/>
          <w:sz w:val="24"/>
          <w:szCs w:val="24"/>
        </w:rPr>
        <w:t>Nel gruppo di lavoro di questa XIII Assemblea vorremmo:</w:t>
      </w:r>
    </w:p>
    <w:p w:rsidR="0095000D" w:rsidRDefault="0095000D" w:rsidP="0095000D">
      <w:pPr>
        <w:pStyle w:val="Paragrafoelenco"/>
        <w:numPr>
          <w:ilvl w:val="0"/>
          <w:numId w:val="1"/>
        </w:numPr>
        <w:spacing w:before="120" w:after="120" w:line="240" w:lineRule="auto"/>
        <w:contextualSpacing w:val="0"/>
        <w:jc w:val="both"/>
        <w:rPr>
          <w:rFonts w:ascii="Times New Roman" w:eastAsia="Palatino" w:hAnsi="Times New Roman" w:cs="Times New Roman"/>
          <w:sz w:val="24"/>
          <w:szCs w:val="24"/>
        </w:rPr>
      </w:pPr>
      <w:r>
        <w:rPr>
          <w:rFonts w:ascii="Times New Roman" w:eastAsia="Palatino" w:hAnsi="Times New Roman" w:cs="Times New Roman"/>
          <w:sz w:val="24"/>
          <w:szCs w:val="24"/>
        </w:rPr>
        <w:t xml:space="preserve">da un lato segnalare le singole iniziative </w:t>
      </w:r>
      <w:r w:rsidRPr="000A467E">
        <w:rPr>
          <w:rFonts w:ascii="Times New Roman" w:eastAsia="Palatino" w:hAnsi="Times New Roman" w:cs="Times New Roman"/>
          <w:sz w:val="24"/>
          <w:szCs w:val="24"/>
        </w:rPr>
        <w:t xml:space="preserve">realizzate </w:t>
      </w:r>
      <w:r>
        <w:rPr>
          <w:rFonts w:ascii="Times New Roman" w:eastAsia="Palatino" w:hAnsi="Times New Roman" w:cs="Times New Roman"/>
          <w:sz w:val="24"/>
          <w:szCs w:val="24"/>
        </w:rPr>
        <w:t>in vari ambiti nel senso della conoscibilità degli orientamenti dei vari Uffici giudiziari e nel senso della tempestività delle pronunce nomofilattiche,</w:t>
      </w:r>
    </w:p>
    <w:p w:rsidR="00C82A1A" w:rsidRDefault="00C82A1A" w:rsidP="0095000D">
      <w:pPr>
        <w:pStyle w:val="Paragrafoelenco"/>
        <w:numPr>
          <w:ilvl w:val="0"/>
          <w:numId w:val="1"/>
        </w:numPr>
        <w:spacing w:before="120" w:after="120" w:line="240" w:lineRule="auto"/>
        <w:contextualSpacing w:val="0"/>
        <w:jc w:val="both"/>
        <w:rPr>
          <w:rFonts w:ascii="Times New Roman" w:eastAsia="Palatino" w:hAnsi="Times New Roman" w:cs="Times New Roman"/>
          <w:sz w:val="24"/>
          <w:szCs w:val="24"/>
        </w:rPr>
      </w:pPr>
      <w:r>
        <w:rPr>
          <w:rFonts w:ascii="Times New Roman" w:eastAsia="Palatino" w:hAnsi="Times New Roman" w:cs="Times New Roman"/>
          <w:sz w:val="24"/>
          <w:szCs w:val="24"/>
        </w:rPr>
        <w:t>dall’altro porre a confronto</w:t>
      </w:r>
    </w:p>
    <w:p w:rsidR="00C82A1A" w:rsidRDefault="0095000D" w:rsidP="00C82A1A">
      <w:pPr>
        <w:pStyle w:val="Paragrafoelenco"/>
        <w:numPr>
          <w:ilvl w:val="1"/>
          <w:numId w:val="1"/>
        </w:numPr>
        <w:spacing w:before="120" w:after="120" w:line="240" w:lineRule="auto"/>
        <w:contextualSpacing w:val="0"/>
        <w:jc w:val="both"/>
        <w:rPr>
          <w:rFonts w:ascii="Times New Roman" w:eastAsia="Palatino" w:hAnsi="Times New Roman" w:cs="Times New Roman"/>
          <w:sz w:val="24"/>
          <w:szCs w:val="24"/>
        </w:rPr>
      </w:pPr>
      <w:r>
        <w:rPr>
          <w:rFonts w:ascii="Times New Roman" w:eastAsia="Palatino" w:hAnsi="Times New Roman" w:cs="Times New Roman"/>
          <w:sz w:val="24"/>
          <w:szCs w:val="24"/>
        </w:rPr>
        <w:t>le criticità tuttora ampiamente presenti sul piano della conoscibilit</w:t>
      </w:r>
      <w:r w:rsidR="00C82A1A">
        <w:rPr>
          <w:rFonts w:ascii="Times New Roman" w:eastAsia="Palatino" w:hAnsi="Times New Roman" w:cs="Times New Roman"/>
          <w:sz w:val="24"/>
          <w:szCs w:val="24"/>
        </w:rPr>
        <w:t>à/prevedibilità delle decisioni</w:t>
      </w:r>
    </w:p>
    <w:p w:rsidR="0095000D" w:rsidRPr="000A467E" w:rsidRDefault="0095000D" w:rsidP="00C82A1A">
      <w:pPr>
        <w:pStyle w:val="Paragrafoelenco"/>
        <w:numPr>
          <w:ilvl w:val="1"/>
          <w:numId w:val="1"/>
        </w:numPr>
        <w:spacing w:before="120" w:after="120" w:line="240" w:lineRule="auto"/>
        <w:contextualSpacing w:val="0"/>
        <w:jc w:val="both"/>
        <w:rPr>
          <w:rFonts w:ascii="Times New Roman" w:eastAsia="Palatino" w:hAnsi="Times New Roman" w:cs="Times New Roman"/>
          <w:sz w:val="24"/>
          <w:szCs w:val="24"/>
        </w:rPr>
      </w:pPr>
      <w:r>
        <w:rPr>
          <w:rFonts w:ascii="Times New Roman" w:eastAsia="Palatino" w:hAnsi="Times New Roman" w:cs="Times New Roman"/>
          <w:sz w:val="24"/>
          <w:szCs w:val="24"/>
        </w:rPr>
        <w:t xml:space="preserve">con le potenzialità dell’analisi informatica dei c.d. </w:t>
      </w:r>
      <w:r w:rsidRPr="00D82EA6">
        <w:rPr>
          <w:rFonts w:ascii="Times New Roman" w:eastAsia="Palatino" w:hAnsi="Times New Roman" w:cs="Times New Roman"/>
          <w:i/>
          <w:sz w:val="24"/>
          <w:szCs w:val="24"/>
        </w:rPr>
        <w:t>big data</w:t>
      </w:r>
      <w:r>
        <w:rPr>
          <w:rFonts w:ascii="Times New Roman" w:eastAsia="Palatino" w:hAnsi="Times New Roman" w:cs="Times New Roman"/>
          <w:sz w:val="24"/>
          <w:szCs w:val="24"/>
        </w:rPr>
        <w:t>, potenzialità che porta varie voci a introdurre il tema della predittività, quale criterio statistico-matematico del giudicare.</w:t>
      </w:r>
    </w:p>
    <w:p w:rsidR="0095000D" w:rsidRDefault="0095000D" w:rsidP="0095000D">
      <w:pPr>
        <w:spacing w:before="120"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Conoscibilità dei precedenti e degli orientamenti di merito, iniziative e </w:t>
      </w:r>
      <w:r w:rsidRPr="008E3CFF">
        <w:rPr>
          <w:rFonts w:ascii="Times New Roman" w:hAnsi="Times New Roman" w:cs="Times New Roman"/>
          <w:sz w:val="24"/>
          <w:szCs w:val="24"/>
          <w:u w:val="single"/>
        </w:rPr>
        <w:t>criticità</w:t>
      </w:r>
      <w:r>
        <w:rPr>
          <w:rFonts w:ascii="Times New Roman" w:hAnsi="Times New Roman" w:cs="Times New Roman"/>
          <w:sz w:val="24"/>
          <w:szCs w:val="24"/>
          <w:u w:val="single"/>
        </w:rPr>
        <w:t>:</w:t>
      </w:r>
    </w:p>
    <w:p w:rsidR="0095000D" w:rsidRPr="00561A37" w:rsidRDefault="0095000D" w:rsidP="0095000D">
      <w:pPr>
        <w:pStyle w:val="Paragrafoelenco"/>
        <w:numPr>
          <w:ilvl w:val="0"/>
          <w:numId w:val="2"/>
        </w:numPr>
        <w:spacing w:before="120" w:after="120" w:line="240" w:lineRule="auto"/>
        <w:contextualSpacing w:val="0"/>
        <w:jc w:val="both"/>
        <w:rPr>
          <w:rFonts w:ascii="Times New Roman" w:eastAsia="Palatino" w:hAnsi="Times New Roman" w:cs="Times New Roman"/>
          <w:sz w:val="24"/>
          <w:szCs w:val="24"/>
          <w:u w:val="single"/>
        </w:rPr>
      </w:pPr>
      <w:r w:rsidRPr="00D82EA6">
        <w:rPr>
          <w:rFonts w:ascii="Times New Roman" w:hAnsi="Times New Roman" w:cs="Times New Roman"/>
          <w:sz w:val="24"/>
          <w:szCs w:val="24"/>
        </w:rPr>
        <w:t xml:space="preserve">accesso per giudici e avvocati alle sentenze pubblicate, </w:t>
      </w:r>
      <w:r>
        <w:rPr>
          <w:rFonts w:ascii="Times New Roman" w:hAnsi="Times New Roman" w:cs="Times New Roman"/>
          <w:sz w:val="24"/>
          <w:szCs w:val="24"/>
        </w:rPr>
        <w:t xml:space="preserve">quale </w:t>
      </w:r>
      <w:r w:rsidRPr="00D82EA6">
        <w:rPr>
          <w:rFonts w:ascii="Times New Roman" w:hAnsi="Times New Roman" w:cs="Times New Roman"/>
          <w:sz w:val="24"/>
          <w:szCs w:val="24"/>
        </w:rPr>
        <w:t xml:space="preserve">garanzia della </w:t>
      </w:r>
      <w:r>
        <w:rPr>
          <w:rFonts w:ascii="Times New Roman" w:hAnsi="Times New Roman" w:cs="Times New Roman"/>
          <w:sz w:val="24"/>
          <w:szCs w:val="24"/>
        </w:rPr>
        <w:t xml:space="preserve">piena e diffusa </w:t>
      </w:r>
      <w:r w:rsidRPr="00D82EA6">
        <w:rPr>
          <w:rFonts w:ascii="Times New Roman" w:hAnsi="Times New Roman" w:cs="Times New Roman"/>
          <w:sz w:val="24"/>
          <w:szCs w:val="24"/>
        </w:rPr>
        <w:t>conoscibilità del precedente giurisprudenziale (</w:t>
      </w:r>
      <w:r w:rsidRPr="00D82EA6">
        <w:rPr>
          <w:rFonts w:ascii="Times New Roman" w:hAnsi="Times New Roman" w:cs="Times New Roman"/>
          <w:i/>
          <w:iCs/>
          <w:sz w:val="24"/>
          <w:szCs w:val="24"/>
        </w:rPr>
        <w:t>in sinergia con il Gruppo 6</w:t>
      </w:r>
      <w:r>
        <w:rPr>
          <w:rFonts w:ascii="Times New Roman" w:hAnsi="Times New Roman" w:cs="Times New Roman"/>
          <w:sz w:val="24"/>
          <w:szCs w:val="24"/>
        </w:rPr>
        <w:t>):</w:t>
      </w:r>
    </w:p>
    <w:p w:rsidR="0095000D" w:rsidRPr="00561A37" w:rsidRDefault="0095000D" w:rsidP="0095000D">
      <w:pPr>
        <w:pStyle w:val="Paragrafoelenco"/>
        <w:numPr>
          <w:ilvl w:val="1"/>
          <w:numId w:val="2"/>
        </w:numPr>
        <w:spacing w:before="120" w:after="120" w:line="240" w:lineRule="auto"/>
        <w:contextualSpacing w:val="0"/>
        <w:jc w:val="both"/>
        <w:rPr>
          <w:rFonts w:ascii="Times New Roman" w:eastAsia="Palatino" w:hAnsi="Times New Roman" w:cs="Times New Roman"/>
          <w:sz w:val="24"/>
          <w:szCs w:val="24"/>
          <w:u w:val="single"/>
        </w:rPr>
      </w:pPr>
      <w:r w:rsidRPr="008E3CFF">
        <w:rPr>
          <w:rFonts w:ascii="Times New Roman" w:hAnsi="Times New Roman" w:cs="Times New Roman"/>
          <w:sz w:val="24"/>
          <w:szCs w:val="24"/>
        </w:rPr>
        <w:t>sistemi automatizzati di raccolta delle sentenze</w:t>
      </w:r>
      <w:r>
        <w:rPr>
          <w:rFonts w:ascii="Times New Roman" w:hAnsi="Times New Roman" w:cs="Times New Roman"/>
          <w:sz w:val="24"/>
          <w:szCs w:val="24"/>
        </w:rPr>
        <w:t>, siti ad accesso libero;</w:t>
      </w:r>
    </w:p>
    <w:p w:rsidR="0095000D" w:rsidRPr="00561A37" w:rsidRDefault="0095000D" w:rsidP="0095000D">
      <w:pPr>
        <w:pStyle w:val="Paragrafoelenco"/>
        <w:numPr>
          <w:ilvl w:val="1"/>
          <w:numId w:val="2"/>
        </w:numPr>
        <w:spacing w:before="120" w:after="120" w:line="240" w:lineRule="auto"/>
        <w:contextualSpacing w:val="0"/>
        <w:jc w:val="both"/>
        <w:rPr>
          <w:rFonts w:ascii="Times New Roman" w:eastAsia="Palatino" w:hAnsi="Times New Roman" w:cs="Times New Roman"/>
          <w:sz w:val="24"/>
          <w:szCs w:val="24"/>
          <w:u w:val="single"/>
        </w:rPr>
      </w:pPr>
      <w:r>
        <w:rPr>
          <w:rFonts w:ascii="Times New Roman" w:hAnsi="Times New Roman" w:cs="Times New Roman"/>
          <w:sz w:val="24"/>
          <w:szCs w:val="24"/>
        </w:rPr>
        <w:t xml:space="preserve">le recenti vicende di “oscuramento” dell’Archivio giurisprudenziale nella </w:t>
      </w:r>
      <w:r w:rsidRPr="00944B98">
        <w:rPr>
          <w:rFonts w:ascii="Times New Roman" w:hAnsi="Times New Roman" w:cs="Times New Roman"/>
          <w:i/>
          <w:sz w:val="24"/>
          <w:szCs w:val="24"/>
        </w:rPr>
        <w:t>Consolle</w:t>
      </w:r>
      <w:r>
        <w:rPr>
          <w:rFonts w:ascii="Times New Roman" w:hAnsi="Times New Roman" w:cs="Times New Roman"/>
          <w:sz w:val="24"/>
          <w:szCs w:val="24"/>
        </w:rPr>
        <w:t xml:space="preserve"> PCT avvocati;</w:t>
      </w:r>
    </w:p>
    <w:p w:rsidR="0095000D" w:rsidRPr="00944B98" w:rsidRDefault="0095000D" w:rsidP="0095000D">
      <w:pPr>
        <w:pStyle w:val="Paragrafoelenco"/>
        <w:numPr>
          <w:ilvl w:val="1"/>
          <w:numId w:val="2"/>
        </w:numPr>
        <w:spacing w:before="120" w:after="120" w:line="240" w:lineRule="auto"/>
        <w:contextualSpacing w:val="0"/>
        <w:jc w:val="both"/>
        <w:rPr>
          <w:rFonts w:ascii="Times New Roman" w:eastAsia="Palatino" w:hAnsi="Times New Roman" w:cs="Times New Roman"/>
          <w:sz w:val="24"/>
          <w:szCs w:val="24"/>
          <w:u w:val="single"/>
        </w:rPr>
      </w:pPr>
      <w:r>
        <w:rPr>
          <w:rFonts w:ascii="Times New Roman" w:hAnsi="Times New Roman" w:cs="Times New Roman"/>
          <w:sz w:val="24"/>
          <w:szCs w:val="24"/>
        </w:rPr>
        <w:t>la recente delibera CSM sulla costituzione dell’</w:t>
      </w:r>
      <w:r w:rsidRPr="00944B98">
        <w:rPr>
          <w:rFonts w:ascii="Times New Roman" w:hAnsi="Times New Roman" w:cs="Times New Roman"/>
          <w:i/>
          <w:sz w:val="24"/>
          <w:szCs w:val="24"/>
        </w:rPr>
        <w:t>Archivio di merito</w:t>
      </w:r>
      <w:r>
        <w:rPr>
          <w:rFonts w:ascii="Times New Roman" w:hAnsi="Times New Roman" w:cs="Times New Roman"/>
          <w:sz w:val="24"/>
          <w:szCs w:val="24"/>
        </w:rPr>
        <w:t xml:space="preserve"> di </w:t>
      </w:r>
      <w:r w:rsidRPr="00944B98">
        <w:rPr>
          <w:rFonts w:ascii="Times New Roman" w:hAnsi="Times New Roman" w:cs="Times New Roman"/>
          <w:i/>
          <w:sz w:val="24"/>
          <w:szCs w:val="24"/>
        </w:rPr>
        <w:t>Italgiure</w:t>
      </w:r>
      <w:r>
        <w:rPr>
          <w:rFonts w:ascii="Times New Roman" w:hAnsi="Times New Roman" w:cs="Times New Roman"/>
          <w:sz w:val="24"/>
          <w:szCs w:val="24"/>
        </w:rPr>
        <w:t>;</w:t>
      </w:r>
    </w:p>
    <w:p w:rsidR="0095000D" w:rsidRPr="00561A37" w:rsidRDefault="0095000D" w:rsidP="0095000D">
      <w:pPr>
        <w:pStyle w:val="Paragrafoelenco"/>
        <w:numPr>
          <w:ilvl w:val="0"/>
          <w:numId w:val="2"/>
        </w:numPr>
        <w:spacing w:before="120" w:after="120" w:line="240" w:lineRule="auto"/>
        <w:contextualSpacing w:val="0"/>
        <w:jc w:val="both"/>
        <w:rPr>
          <w:rFonts w:ascii="Times New Roman" w:eastAsia="Palatino" w:hAnsi="Times New Roman" w:cs="Times New Roman"/>
          <w:sz w:val="24"/>
          <w:szCs w:val="24"/>
        </w:rPr>
      </w:pPr>
      <w:r w:rsidRPr="00944B98">
        <w:rPr>
          <w:rFonts w:ascii="Times New Roman" w:hAnsi="Times New Roman" w:cs="Times New Roman"/>
          <w:sz w:val="24"/>
          <w:szCs w:val="24"/>
        </w:rPr>
        <w:t>nomofilachia “orizzontale”</w:t>
      </w:r>
      <w:r>
        <w:rPr>
          <w:rFonts w:ascii="Times New Roman" w:hAnsi="Times New Roman" w:cs="Times New Roman"/>
          <w:sz w:val="24"/>
          <w:szCs w:val="24"/>
        </w:rPr>
        <w:t>, c</w:t>
      </w:r>
      <w:r w:rsidRPr="008E3CFF">
        <w:rPr>
          <w:rFonts w:ascii="Times New Roman" w:hAnsi="Times New Roman" w:cs="Times New Roman"/>
          <w:sz w:val="24"/>
          <w:szCs w:val="24"/>
        </w:rPr>
        <w:t>onoscibilità del precedente all’interno dell’ufficio e prevedibilità della decisione all’esterno</w:t>
      </w:r>
      <w:r>
        <w:rPr>
          <w:rFonts w:ascii="Times New Roman" w:hAnsi="Times New Roman" w:cs="Times New Roman"/>
          <w:sz w:val="24"/>
          <w:szCs w:val="24"/>
        </w:rPr>
        <w:t>:</w:t>
      </w:r>
    </w:p>
    <w:p w:rsidR="0095000D" w:rsidRPr="00C82A1A" w:rsidRDefault="0095000D" w:rsidP="0095000D">
      <w:pPr>
        <w:pStyle w:val="Paragrafoelenco"/>
        <w:numPr>
          <w:ilvl w:val="1"/>
          <w:numId w:val="2"/>
        </w:numPr>
        <w:spacing w:before="120" w:after="120" w:line="240" w:lineRule="auto"/>
        <w:contextualSpacing w:val="0"/>
        <w:jc w:val="both"/>
        <w:rPr>
          <w:rFonts w:ascii="Times New Roman" w:eastAsia="Palatino" w:hAnsi="Times New Roman" w:cs="Times New Roman"/>
          <w:i/>
          <w:sz w:val="24"/>
          <w:szCs w:val="24"/>
        </w:rPr>
      </w:pPr>
      <w:r w:rsidRPr="00944B98">
        <w:rPr>
          <w:rFonts w:ascii="Times New Roman" w:hAnsi="Times New Roman" w:cs="Times New Roman"/>
          <w:i/>
          <w:sz w:val="24"/>
          <w:szCs w:val="24"/>
        </w:rPr>
        <w:lastRenderedPageBreak/>
        <w:t>linee guida</w:t>
      </w:r>
      <w:r>
        <w:rPr>
          <w:rFonts w:ascii="Times New Roman" w:hAnsi="Times New Roman" w:cs="Times New Roman"/>
          <w:sz w:val="24"/>
          <w:szCs w:val="24"/>
        </w:rPr>
        <w:t xml:space="preserve"> in varie “materie” </w:t>
      </w:r>
      <w:r w:rsidR="00C82A1A">
        <w:rPr>
          <w:rFonts w:ascii="Times New Roman" w:hAnsi="Times New Roman" w:cs="Times New Roman"/>
          <w:sz w:val="24"/>
          <w:szCs w:val="24"/>
        </w:rPr>
        <w:t xml:space="preserve">caratterizzate da </w:t>
      </w:r>
      <w:r>
        <w:rPr>
          <w:rFonts w:ascii="Times New Roman" w:hAnsi="Times New Roman" w:cs="Times New Roman"/>
          <w:sz w:val="24"/>
          <w:szCs w:val="24"/>
        </w:rPr>
        <w:t xml:space="preserve">questioni ricorrenti (dalle </w:t>
      </w:r>
      <w:r w:rsidRPr="00AD2EF0">
        <w:rPr>
          <w:rFonts w:ascii="Times New Roman" w:hAnsi="Times New Roman" w:cs="Times New Roman"/>
          <w:i/>
          <w:sz w:val="24"/>
          <w:szCs w:val="24"/>
        </w:rPr>
        <w:t>tabelle</w:t>
      </w:r>
      <w:r>
        <w:rPr>
          <w:rFonts w:ascii="Times New Roman" w:hAnsi="Times New Roman" w:cs="Times New Roman"/>
          <w:sz w:val="24"/>
          <w:szCs w:val="24"/>
        </w:rPr>
        <w:t xml:space="preserve"> di liquidazione del danno alla persona ai </w:t>
      </w:r>
      <w:r w:rsidRPr="0095000D">
        <w:rPr>
          <w:rFonts w:ascii="Times New Roman" w:hAnsi="Times New Roman" w:cs="Times New Roman"/>
          <w:i/>
          <w:sz w:val="24"/>
          <w:szCs w:val="24"/>
        </w:rPr>
        <w:t>prospetti introduttivi</w:t>
      </w:r>
      <w:r>
        <w:rPr>
          <w:rFonts w:ascii="Times New Roman" w:hAnsi="Times New Roman" w:cs="Times New Roman"/>
          <w:sz w:val="24"/>
          <w:szCs w:val="24"/>
        </w:rPr>
        <w:t xml:space="preserve"> </w:t>
      </w:r>
      <w:r w:rsidR="00C82A1A">
        <w:rPr>
          <w:rFonts w:ascii="Times New Roman" w:hAnsi="Times New Roman" w:cs="Times New Roman"/>
          <w:sz w:val="24"/>
          <w:szCs w:val="24"/>
        </w:rPr>
        <w:t xml:space="preserve">per le azioni di responsabilità svolte da curatori fallimentari e </w:t>
      </w:r>
      <w:r>
        <w:rPr>
          <w:rFonts w:ascii="Times New Roman" w:hAnsi="Times New Roman" w:cs="Times New Roman"/>
          <w:sz w:val="24"/>
          <w:szCs w:val="24"/>
        </w:rPr>
        <w:t xml:space="preserve">alle </w:t>
      </w:r>
      <w:r w:rsidRPr="00AD2EF0">
        <w:rPr>
          <w:rFonts w:ascii="Times New Roman" w:hAnsi="Times New Roman" w:cs="Times New Roman"/>
          <w:i/>
          <w:sz w:val="24"/>
          <w:szCs w:val="24"/>
        </w:rPr>
        <w:t>linee guida</w:t>
      </w:r>
      <w:r>
        <w:rPr>
          <w:rFonts w:ascii="Times New Roman" w:hAnsi="Times New Roman" w:cs="Times New Roman"/>
          <w:sz w:val="24"/>
          <w:szCs w:val="24"/>
        </w:rPr>
        <w:t xml:space="preserve"> in materia di famiglia, di volontaria giurisdizione….);</w:t>
      </w:r>
    </w:p>
    <w:p w:rsidR="0095000D" w:rsidRPr="00561A37" w:rsidRDefault="0095000D" w:rsidP="0095000D">
      <w:pPr>
        <w:pStyle w:val="Paragrafoelenco"/>
        <w:numPr>
          <w:ilvl w:val="1"/>
          <w:numId w:val="2"/>
        </w:numPr>
        <w:spacing w:before="120" w:after="120" w:line="240" w:lineRule="auto"/>
        <w:contextualSpacing w:val="0"/>
        <w:jc w:val="both"/>
        <w:rPr>
          <w:rFonts w:ascii="Times New Roman" w:eastAsia="Palatino" w:hAnsi="Times New Roman" w:cs="Times New Roman"/>
          <w:sz w:val="24"/>
          <w:szCs w:val="24"/>
        </w:rPr>
      </w:pPr>
      <w:r w:rsidRPr="00C82A1A">
        <w:rPr>
          <w:rFonts w:ascii="Times New Roman" w:hAnsi="Times New Roman" w:cs="Times New Roman"/>
          <w:i/>
          <w:sz w:val="24"/>
          <w:szCs w:val="24"/>
        </w:rPr>
        <w:t>massimari</w:t>
      </w:r>
      <w:r w:rsidRPr="00944B98">
        <w:rPr>
          <w:rFonts w:ascii="Times New Roman" w:hAnsi="Times New Roman" w:cs="Times New Roman"/>
          <w:sz w:val="24"/>
          <w:szCs w:val="24"/>
        </w:rPr>
        <w:t xml:space="preserve"> delle decisioni più significative di ciascun[a sezione dell’</w:t>
      </w:r>
      <w:r>
        <w:rPr>
          <w:rFonts w:ascii="Times New Roman" w:hAnsi="Times New Roman" w:cs="Times New Roman"/>
          <w:sz w:val="24"/>
          <w:szCs w:val="24"/>
        </w:rPr>
        <w:t>]Ufficio giudiziario e loro pubblicazione su siti istituzionali (l’esempio della Camera civile di Reggio Emilia; il sito del Tribunale di Milano);</w:t>
      </w:r>
    </w:p>
    <w:p w:rsidR="0095000D" w:rsidRPr="008E3CFF" w:rsidRDefault="0095000D" w:rsidP="0095000D">
      <w:pPr>
        <w:pStyle w:val="Paragrafoelenco"/>
        <w:numPr>
          <w:ilvl w:val="1"/>
          <w:numId w:val="2"/>
        </w:numPr>
        <w:spacing w:before="120" w:after="120" w:line="240" w:lineRule="auto"/>
        <w:contextualSpacing w:val="0"/>
        <w:jc w:val="both"/>
        <w:rPr>
          <w:rFonts w:ascii="Times New Roman" w:eastAsia="Palatino" w:hAnsi="Times New Roman" w:cs="Times New Roman"/>
          <w:sz w:val="24"/>
          <w:szCs w:val="24"/>
        </w:rPr>
      </w:pPr>
      <w:r w:rsidRPr="00C82A1A">
        <w:rPr>
          <w:rFonts w:ascii="Times New Roman" w:hAnsi="Times New Roman" w:cs="Times New Roman"/>
          <w:i/>
          <w:sz w:val="24"/>
          <w:szCs w:val="24"/>
        </w:rPr>
        <w:t>protocolli</w:t>
      </w:r>
      <w:r>
        <w:rPr>
          <w:rFonts w:ascii="Times New Roman" w:hAnsi="Times New Roman" w:cs="Times New Roman"/>
          <w:sz w:val="24"/>
          <w:szCs w:val="24"/>
        </w:rPr>
        <w:t xml:space="preserve"> relativi agli aspetti processuali e in particolare </w:t>
      </w:r>
      <w:r w:rsidRPr="008E3CFF">
        <w:rPr>
          <w:rFonts w:ascii="Times New Roman" w:hAnsi="Times New Roman" w:cs="Times New Roman"/>
          <w:sz w:val="24"/>
          <w:szCs w:val="24"/>
        </w:rPr>
        <w:t>sulla sinteticità e sulla chiarezza degli atti e dei provvedimenti.</w:t>
      </w:r>
    </w:p>
    <w:p w:rsidR="0095000D" w:rsidRDefault="0095000D" w:rsidP="0095000D">
      <w:pPr>
        <w:spacing w:before="120"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Prospettive organizzative:</w:t>
      </w:r>
    </w:p>
    <w:p w:rsidR="0095000D" w:rsidRPr="00561A37" w:rsidRDefault="0095000D" w:rsidP="0095000D">
      <w:pPr>
        <w:pStyle w:val="Paragrafoelenco"/>
        <w:numPr>
          <w:ilvl w:val="0"/>
          <w:numId w:val="2"/>
        </w:numPr>
        <w:spacing w:before="120" w:after="120" w:line="240" w:lineRule="auto"/>
        <w:ind w:hanging="357"/>
        <w:contextualSpacing w:val="0"/>
        <w:jc w:val="both"/>
        <w:rPr>
          <w:rFonts w:ascii="Times New Roman" w:eastAsia="Palatino" w:hAnsi="Times New Roman" w:cs="Times New Roman"/>
          <w:sz w:val="24"/>
          <w:szCs w:val="24"/>
          <w:u w:val="single"/>
        </w:rPr>
      </w:pPr>
      <w:r>
        <w:rPr>
          <w:rFonts w:ascii="Times New Roman" w:hAnsi="Times New Roman" w:cs="Times New Roman"/>
          <w:sz w:val="24"/>
          <w:szCs w:val="24"/>
        </w:rPr>
        <w:t>l</w:t>
      </w:r>
      <w:r w:rsidRPr="00561A37">
        <w:rPr>
          <w:rFonts w:ascii="Times New Roman" w:hAnsi="Times New Roman" w:cs="Times New Roman"/>
          <w:sz w:val="24"/>
          <w:szCs w:val="24"/>
        </w:rPr>
        <w:t xml:space="preserve">e riunioni </w:t>
      </w:r>
      <w:r w:rsidRPr="00561A37">
        <w:rPr>
          <w:rFonts w:ascii="Times New Roman" w:hAnsi="Times New Roman" w:cs="Times New Roman"/>
          <w:i/>
          <w:iCs/>
          <w:sz w:val="24"/>
          <w:szCs w:val="24"/>
        </w:rPr>
        <w:t xml:space="preserve">ex </w:t>
      </w:r>
      <w:r w:rsidRPr="00561A37">
        <w:rPr>
          <w:rFonts w:ascii="Times New Roman" w:hAnsi="Times New Roman" w:cs="Times New Roman"/>
          <w:sz w:val="24"/>
          <w:szCs w:val="24"/>
        </w:rPr>
        <w:t>art. 47-</w:t>
      </w:r>
      <w:r w:rsidRPr="00561A37">
        <w:rPr>
          <w:rFonts w:ascii="Times New Roman" w:hAnsi="Times New Roman" w:cs="Times New Roman"/>
          <w:i/>
          <w:iCs/>
          <w:sz w:val="24"/>
          <w:szCs w:val="24"/>
        </w:rPr>
        <w:t>quater</w:t>
      </w:r>
      <w:r>
        <w:rPr>
          <w:rFonts w:ascii="Times New Roman" w:hAnsi="Times New Roman" w:cs="Times New Roman"/>
          <w:sz w:val="24"/>
          <w:szCs w:val="24"/>
        </w:rPr>
        <w:t xml:space="preserve"> O.G.:</w:t>
      </w:r>
    </w:p>
    <w:p w:rsidR="0095000D" w:rsidRPr="00561A37" w:rsidRDefault="0095000D" w:rsidP="0095000D">
      <w:pPr>
        <w:pStyle w:val="Paragrafoelenco"/>
        <w:numPr>
          <w:ilvl w:val="1"/>
          <w:numId w:val="2"/>
        </w:numPr>
        <w:spacing w:before="120" w:after="120" w:line="240" w:lineRule="auto"/>
        <w:ind w:hanging="357"/>
        <w:contextualSpacing w:val="0"/>
        <w:jc w:val="both"/>
        <w:rPr>
          <w:rFonts w:ascii="Times New Roman" w:eastAsia="Palatino" w:hAnsi="Times New Roman" w:cs="Times New Roman"/>
          <w:sz w:val="24"/>
          <w:szCs w:val="24"/>
          <w:u w:val="single"/>
        </w:rPr>
      </w:pPr>
      <w:r w:rsidRPr="00561A37">
        <w:rPr>
          <w:rFonts w:ascii="Times New Roman" w:hAnsi="Times New Roman" w:cs="Times New Roman"/>
          <w:sz w:val="24"/>
          <w:szCs w:val="24"/>
        </w:rPr>
        <w:t xml:space="preserve">circolazione degli esiti </w:t>
      </w:r>
      <w:r>
        <w:rPr>
          <w:rFonts w:ascii="Times New Roman" w:hAnsi="Times New Roman" w:cs="Times New Roman"/>
          <w:sz w:val="24"/>
          <w:szCs w:val="24"/>
        </w:rPr>
        <w:t>fra i diversi gradi del merito;</w:t>
      </w:r>
    </w:p>
    <w:p w:rsidR="0095000D" w:rsidRPr="00561A37" w:rsidRDefault="0095000D" w:rsidP="0095000D">
      <w:pPr>
        <w:pStyle w:val="Paragrafoelenco"/>
        <w:numPr>
          <w:ilvl w:val="1"/>
          <w:numId w:val="2"/>
        </w:numPr>
        <w:spacing w:before="120" w:after="120" w:line="240" w:lineRule="auto"/>
        <w:ind w:hanging="357"/>
        <w:contextualSpacing w:val="0"/>
        <w:jc w:val="both"/>
        <w:rPr>
          <w:rFonts w:ascii="Times New Roman" w:eastAsia="Palatino" w:hAnsi="Times New Roman" w:cs="Times New Roman"/>
          <w:sz w:val="24"/>
          <w:szCs w:val="24"/>
          <w:u w:val="single"/>
        </w:rPr>
      </w:pPr>
      <w:r>
        <w:rPr>
          <w:rFonts w:ascii="Times New Roman" w:hAnsi="Times New Roman" w:cs="Times New Roman"/>
          <w:sz w:val="24"/>
          <w:szCs w:val="24"/>
        </w:rPr>
        <w:t>d</w:t>
      </w:r>
      <w:r w:rsidRPr="00561A37">
        <w:rPr>
          <w:rFonts w:ascii="Times New Roman" w:hAnsi="Times New Roman" w:cs="Times New Roman"/>
          <w:sz w:val="24"/>
          <w:szCs w:val="24"/>
        </w:rPr>
        <w:t>ivulgare all’esterno dell’uff</w:t>
      </w:r>
      <w:r>
        <w:rPr>
          <w:rFonts w:ascii="Times New Roman" w:hAnsi="Times New Roman" w:cs="Times New Roman"/>
          <w:sz w:val="24"/>
          <w:szCs w:val="24"/>
        </w:rPr>
        <w:t>icio i verbali delle riunioni?</w:t>
      </w:r>
    </w:p>
    <w:p w:rsidR="0095000D" w:rsidRPr="00561A37" w:rsidRDefault="0095000D" w:rsidP="0095000D">
      <w:pPr>
        <w:pStyle w:val="Paragrafoelenco"/>
        <w:numPr>
          <w:ilvl w:val="1"/>
          <w:numId w:val="2"/>
        </w:numPr>
        <w:spacing w:before="120" w:after="120" w:line="240" w:lineRule="auto"/>
        <w:ind w:hanging="357"/>
        <w:contextualSpacing w:val="0"/>
        <w:jc w:val="both"/>
        <w:rPr>
          <w:rFonts w:ascii="Times New Roman" w:eastAsia="Palatino" w:hAnsi="Times New Roman" w:cs="Times New Roman"/>
          <w:sz w:val="24"/>
          <w:szCs w:val="24"/>
          <w:u w:val="single"/>
        </w:rPr>
      </w:pPr>
      <w:r>
        <w:rPr>
          <w:rFonts w:ascii="Times New Roman" w:hAnsi="Times New Roman" w:cs="Times New Roman"/>
          <w:sz w:val="24"/>
          <w:szCs w:val="24"/>
        </w:rPr>
        <w:t>inosservanza delle disposizioni in materia di riunioni di sezione, quali</w:t>
      </w:r>
      <w:r w:rsidRPr="00561A37">
        <w:rPr>
          <w:rFonts w:ascii="Times New Roman" w:hAnsi="Times New Roman" w:cs="Times New Roman"/>
          <w:sz w:val="24"/>
          <w:szCs w:val="24"/>
        </w:rPr>
        <w:t xml:space="preserve"> conseguenze</w:t>
      </w:r>
      <w:r>
        <w:rPr>
          <w:rFonts w:ascii="Times New Roman" w:hAnsi="Times New Roman" w:cs="Times New Roman"/>
          <w:sz w:val="24"/>
          <w:szCs w:val="24"/>
        </w:rPr>
        <w:t xml:space="preserve"> sul piano dell’autogoverno?</w:t>
      </w:r>
    </w:p>
    <w:p w:rsidR="0095000D" w:rsidRPr="00561A37" w:rsidRDefault="0095000D" w:rsidP="0095000D">
      <w:pPr>
        <w:pStyle w:val="Paragrafoelenco"/>
        <w:numPr>
          <w:ilvl w:val="0"/>
          <w:numId w:val="2"/>
        </w:numPr>
        <w:spacing w:before="120" w:after="120" w:line="240" w:lineRule="auto"/>
        <w:contextualSpacing w:val="0"/>
        <w:jc w:val="both"/>
        <w:rPr>
          <w:rFonts w:ascii="Times New Roman" w:eastAsia="Palatino" w:hAnsi="Times New Roman" w:cs="Times New Roman"/>
          <w:sz w:val="24"/>
          <w:szCs w:val="24"/>
          <w:u w:val="single"/>
        </w:rPr>
      </w:pPr>
      <w:r w:rsidRPr="00561A37">
        <w:rPr>
          <w:rFonts w:ascii="Times New Roman" w:hAnsi="Times New Roman" w:cs="Times New Roman"/>
          <w:sz w:val="24"/>
          <w:szCs w:val="24"/>
        </w:rPr>
        <w:t>la “rete della nomofilachia”</w:t>
      </w:r>
      <w:r>
        <w:rPr>
          <w:rFonts w:ascii="Times New Roman" w:hAnsi="Times New Roman" w:cs="Times New Roman"/>
          <w:sz w:val="24"/>
          <w:szCs w:val="24"/>
        </w:rPr>
        <w:t>:</w:t>
      </w:r>
    </w:p>
    <w:p w:rsidR="0095000D" w:rsidRPr="00561A37" w:rsidRDefault="0095000D" w:rsidP="0095000D">
      <w:pPr>
        <w:pStyle w:val="Paragrafoelenco"/>
        <w:numPr>
          <w:ilvl w:val="1"/>
          <w:numId w:val="2"/>
        </w:numPr>
        <w:spacing w:before="120" w:after="120" w:line="240" w:lineRule="auto"/>
        <w:contextualSpacing w:val="0"/>
        <w:jc w:val="both"/>
        <w:rPr>
          <w:rFonts w:ascii="Times New Roman" w:eastAsia="Palatino" w:hAnsi="Times New Roman" w:cs="Times New Roman"/>
          <w:sz w:val="24"/>
          <w:szCs w:val="24"/>
          <w:u w:val="single"/>
        </w:rPr>
      </w:pPr>
      <w:r>
        <w:rPr>
          <w:rFonts w:ascii="Times New Roman" w:hAnsi="Times New Roman" w:cs="Times New Roman"/>
          <w:sz w:val="24"/>
          <w:szCs w:val="24"/>
        </w:rPr>
        <w:t>i</w:t>
      </w:r>
      <w:r w:rsidRPr="00561A37">
        <w:rPr>
          <w:rFonts w:ascii="Times New Roman" w:hAnsi="Times New Roman" w:cs="Times New Roman"/>
          <w:sz w:val="24"/>
          <w:szCs w:val="24"/>
        </w:rPr>
        <w:t>ncontri fra giudici di primo e second</w:t>
      </w:r>
      <w:r>
        <w:rPr>
          <w:rFonts w:ascii="Times New Roman" w:hAnsi="Times New Roman" w:cs="Times New Roman"/>
          <w:sz w:val="24"/>
          <w:szCs w:val="24"/>
        </w:rPr>
        <w:t>o grado sulle questioni comuni;</w:t>
      </w:r>
    </w:p>
    <w:p w:rsidR="0095000D" w:rsidRPr="00561A37" w:rsidRDefault="0095000D" w:rsidP="0095000D">
      <w:pPr>
        <w:pStyle w:val="Paragrafoelenco"/>
        <w:numPr>
          <w:ilvl w:val="1"/>
          <w:numId w:val="2"/>
        </w:numPr>
        <w:spacing w:before="120" w:after="120" w:line="240" w:lineRule="auto"/>
        <w:contextualSpacing w:val="0"/>
        <w:jc w:val="both"/>
        <w:rPr>
          <w:rFonts w:ascii="Times New Roman" w:eastAsia="Palatino" w:hAnsi="Times New Roman" w:cs="Times New Roman"/>
          <w:sz w:val="24"/>
          <w:szCs w:val="24"/>
          <w:u w:val="single"/>
        </w:rPr>
      </w:pPr>
      <w:r>
        <w:rPr>
          <w:rFonts w:ascii="Times New Roman" w:hAnsi="Times New Roman" w:cs="Times New Roman"/>
          <w:sz w:val="24"/>
          <w:szCs w:val="24"/>
        </w:rPr>
        <w:t>e</w:t>
      </w:r>
      <w:r w:rsidRPr="00561A37">
        <w:rPr>
          <w:rFonts w:ascii="Times New Roman" w:hAnsi="Times New Roman" w:cs="Times New Roman"/>
          <w:sz w:val="24"/>
          <w:szCs w:val="24"/>
        </w:rPr>
        <w:t>mersione delle novità che richiedono sollecita decisione del giudice d’</w:t>
      </w:r>
      <w:r>
        <w:rPr>
          <w:rFonts w:ascii="Times New Roman" w:hAnsi="Times New Roman" w:cs="Times New Roman"/>
          <w:sz w:val="24"/>
          <w:szCs w:val="24"/>
        </w:rPr>
        <w:t>appello;</w:t>
      </w:r>
    </w:p>
    <w:p w:rsidR="0095000D" w:rsidRPr="00561A37" w:rsidRDefault="0095000D" w:rsidP="0095000D">
      <w:pPr>
        <w:pStyle w:val="Paragrafoelenco"/>
        <w:numPr>
          <w:ilvl w:val="1"/>
          <w:numId w:val="2"/>
        </w:numPr>
        <w:spacing w:before="120" w:after="120" w:line="240" w:lineRule="auto"/>
        <w:contextualSpacing w:val="0"/>
        <w:jc w:val="both"/>
        <w:rPr>
          <w:rFonts w:ascii="Times New Roman" w:eastAsia="Palatino" w:hAnsi="Times New Roman" w:cs="Times New Roman"/>
          <w:sz w:val="24"/>
          <w:szCs w:val="24"/>
          <w:u w:val="single"/>
        </w:rPr>
      </w:pPr>
      <w:r>
        <w:rPr>
          <w:rFonts w:ascii="Times New Roman" w:hAnsi="Times New Roman" w:cs="Times New Roman"/>
          <w:sz w:val="24"/>
          <w:szCs w:val="24"/>
        </w:rPr>
        <w:t>i</w:t>
      </w:r>
      <w:r w:rsidRPr="00561A37">
        <w:rPr>
          <w:rFonts w:ascii="Times New Roman" w:hAnsi="Times New Roman" w:cs="Times New Roman"/>
          <w:sz w:val="24"/>
          <w:szCs w:val="24"/>
        </w:rPr>
        <w:t>ncontri periodici della Cassazione con le Corti d’appello per individuare le tematiche che necessita</w:t>
      </w:r>
      <w:r>
        <w:rPr>
          <w:rFonts w:ascii="Times New Roman" w:hAnsi="Times New Roman" w:cs="Times New Roman"/>
          <w:sz w:val="24"/>
          <w:szCs w:val="24"/>
        </w:rPr>
        <w:t>no di interventi nomofilattici;</w:t>
      </w:r>
    </w:p>
    <w:p w:rsidR="0095000D" w:rsidRPr="00561A37" w:rsidRDefault="0095000D" w:rsidP="0095000D">
      <w:pPr>
        <w:pStyle w:val="Paragrafoelenco"/>
        <w:numPr>
          <w:ilvl w:val="1"/>
          <w:numId w:val="2"/>
        </w:numPr>
        <w:spacing w:before="120" w:after="120" w:line="240" w:lineRule="auto"/>
        <w:contextualSpacing w:val="0"/>
        <w:jc w:val="both"/>
        <w:rPr>
          <w:rFonts w:ascii="Times New Roman" w:eastAsia="Palatino" w:hAnsi="Times New Roman" w:cs="Times New Roman"/>
          <w:sz w:val="24"/>
          <w:szCs w:val="24"/>
          <w:u w:val="single"/>
        </w:rPr>
      </w:pPr>
      <w:r>
        <w:rPr>
          <w:rFonts w:ascii="Times New Roman" w:hAnsi="Times New Roman" w:cs="Times New Roman"/>
          <w:sz w:val="24"/>
          <w:szCs w:val="24"/>
        </w:rPr>
        <w:t>i</w:t>
      </w:r>
      <w:r w:rsidRPr="00561A37">
        <w:rPr>
          <w:rFonts w:ascii="Times New Roman" w:hAnsi="Times New Roman" w:cs="Times New Roman"/>
          <w:sz w:val="24"/>
          <w:szCs w:val="24"/>
        </w:rPr>
        <w:t xml:space="preserve">l </w:t>
      </w:r>
      <w:r w:rsidRPr="00561A37">
        <w:rPr>
          <w:rFonts w:ascii="Times New Roman" w:hAnsi="Times New Roman" w:cs="Times New Roman"/>
          <w:i/>
          <w:sz w:val="24"/>
          <w:szCs w:val="24"/>
        </w:rPr>
        <w:t>Progetto esecuzioni</w:t>
      </w:r>
      <w:r>
        <w:rPr>
          <w:rFonts w:ascii="Times New Roman" w:hAnsi="Times New Roman" w:cs="Times New Roman"/>
          <w:sz w:val="24"/>
          <w:szCs w:val="24"/>
        </w:rPr>
        <w:t xml:space="preserve"> </w:t>
      </w:r>
      <w:r w:rsidRPr="00561A37">
        <w:rPr>
          <w:rFonts w:ascii="Times New Roman" w:hAnsi="Times New Roman" w:cs="Times New Roman"/>
          <w:sz w:val="24"/>
          <w:szCs w:val="24"/>
        </w:rPr>
        <w:t xml:space="preserve">della III </w:t>
      </w:r>
      <w:r>
        <w:rPr>
          <w:rFonts w:ascii="Times New Roman" w:hAnsi="Times New Roman" w:cs="Times New Roman"/>
          <w:sz w:val="24"/>
          <w:szCs w:val="24"/>
        </w:rPr>
        <w:t>sezione civile della Cassazione</w:t>
      </w:r>
      <w:r w:rsidR="00C82A1A">
        <w:rPr>
          <w:rFonts w:ascii="Times New Roman" w:hAnsi="Times New Roman" w:cs="Times New Roman"/>
          <w:sz w:val="24"/>
          <w:szCs w:val="24"/>
        </w:rPr>
        <w:t>;</w:t>
      </w:r>
      <w:bookmarkStart w:id="0" w:name="_GoBack"/>
      <w:bookmarkEnd w:id="0"/>
    </w:p>
    <w:p w:rsidR="0095000D" w:rsidRPr="00561A37" w:rsidRDefault="0095000D" w:rsidP="0095000D">
      <w:pPr>
        <w:pStyle w:val="Paragrafoelenco"/>
        <w:numPr>
          <w:ilvl w:val="0"/>
          <w:numId w:val="2"/>
        </w:numPr>
        <w:spacing w:before="120" w:after="120" w:line="240" w:lineRule="auto"/>
        <w:contextualSpacing w:val="0"/>
        <w:jc w:val="both"/>
        <w:rPr>
          <w:rFonts w:ascii="Times New Roman" w:eastAsia="Palatino" w:hAnsi="Times New Roman" w:cs="Times New Roman"/>
          <w:sz w:val="24"/>
          <w:szCs w:val="24"/>
          <w:u w:val="single"/>
        </w:rPr>
      </w:pPr>
      <w:r>
        <w:rPr>
          <w:rFonts w:ascii="Times New Roman" w:hAnsi="Times New Roman" w:cs="Times New Roman"/>
          <w:sz w:val="24"/>
          <w:szCs w:val="24"/>
        </w:rPr>
        <w:t>massimari di S</w:t>
      </w:r>
      <w:r w:rsidRPr="00561A37">
        <w:rPr>
          <w:rFonts w:ascii="Times New Roman" w:hAnsi="Times New Roman" w:cs="Times New Roman"/>
          <w:sz w:val="24"/>
          <w:szCs w:val="24"/>
        </w:rPr>
        <w:t>ezio</w:t>
      </w:r>
      <w:r>
        <w:rPr>
          <w:rFonts w:ascii="Times New Roman" w:hAnsi="Times New Roman" w:cs="Times New Roman"/>
          <w:sz w:val="24"/>
          <w:szCs w:val="24"/>
        </w:rPr>
        <w:t>ne e di Tribunale (o di Corte):</w:t>
      </w:r>
    </w:p>
    <w:p w:rsidR="0095000D" w:rsidRPr="00561A37" w:rsidRDefault="0095000D" w:rsidP="0095000D">
      <w:pPr>
        <w:pStyle w:val="Paragrafoelenco"/>
        <w:numPr>
          <w:ilvl w:val="1"/>
          <w:numId w:val="2"/>
        </w:numPr>
        <w:spacing w:before="120" w:after="120" w:line="240" w:lineRule="auto"/>
        <w:contextualSpacing w:val="0"/>
        <w:jc w:val="both"/>
        <w:rPr>
          <w:rFonts w:ascii="Times New Roman" w:eastAsia="Palatino" w:hAnsi="Times New Roman" w:cs="Times New Roman"/>
          <w:sz w:val="24"/>
          <w:szCs w:val="24"/>
          <w:u w:val="single"/>
        </w:rPr>
      </w:pPr>
      <w:r>
        <w:rPr>
          <w:rFonts w:ascii="Times New Roman" w:hAnsi="Times New Roman" w:cs="Times New Roman"/>
          <w:sz w:val="24"/>
          <w:szCs w:val="24"/>
        </w:rPr>
        <w:t>c</w:t>
      </w:r>
      <w:r w:rsidRPr="00561A37">
        <w:rPr>
          <w:rFonts w:ascii="Times New Roman" w:hAnsi="Times New Roman" w:cs="Times New Roman"/>
          <w:sz w:val="24"/>
          <w:szCs w:val="24"/>
        </w:rPr>
        <w:t>onvenzioni con le Università</w:t>
      </w:r>
      <w:r>
        <w:rPr>
          <w:rFonts w:ascii="Times New Roman" w:hAnsi="Times New Roman" w:cs="Times New Roman"/>
          <w:sz w:val="24"/>
          <w:szCs w:val="24"/>
        </w:rPr>
        <w:t>;</w:t>
      </w:r>
    </w:p>
    <w:p w:rsidR="0095000D" w:rsidRPr="00561A37" w:rsidRDefault="0095000D" w:rsidP="0095000D">
      <w:pPr>
        <w:pStyle w:val="Paragrafoelenco"/>
        <w:numPr>
          <w:ilvl w:val="1"/>
          <w:numId w:val="2"/>
        </w:numPr>
        <w:spacing w:before="120" w:after="120" w:line="240" w:lineRule="auto"/>
        <w:contextualSpacing w:val="0"/>
        <w:jc w:val="both"/>
        <w:rPr>
          <w:rFonts w:ascii="Times New Roman" w:eastAsia="Palatino" w:hAnsi="Times New Roman" w:cs="Times New Roman"/>
          <w:sz w:val="24"/>
          <w:szCs w:val="24"/>
          <w:u w:val="single"/>
        </w:rPr>
      </w:pPr>
      <w:r>
        <w:rPr>
          <w:rFonts w:ascii="Times New Roman" w:hAnsi="Times New Roman" w:cs="Times New Roman"/>
          <w:sz w:val="24"/>
          <w:szCs w:val="24"/>
        </w:rPr>
        <w:t>i</w:t>
      </w:r>
      <w:r w:rsidRPr="00561A37">
        <w:rPr>
          <w:rFonts w:ascii="Times New Roman" w:hAnsi="Times New Roman" w:cs="Times New Roman"/>
          <w:sz w:val="24"/>
          <w:szCs w:val="24"/>
        </w:rPr>
        <w:t xml:space="preserve">l </w:t>
      </w:r>
      <w:r w:rsidRPr="00561A37">
        <w:rPr>
          <w:rFonts w:ascii="Times New Roman" w:hAnsi="Times New Roman" w:cs="Times New Roman"/>
          <w:i/>
          <w:iCs/>
          <w:sz w:val="24"/>
          <w:szCs w:val="24"/>
        </w:rPr>
        <w:t xml:space="preserve">cloud </w:t>
      </w:r>
      <w:r w:rsidRPr="00561A37">
        <w:rPr>
          <w:rFonts w:ascii="Times New Roman" w:hAnsi="Times New Roman" w:cs="Times New Roman"/>
          <w:i/>
          <w:sz w:val="24"/>
          <w:szCs w:val="24"/>
        </w:rPr>
        <w:t>One drive</w:t>
      </w:r>
      <w:r w:rsidRPr="00561A37">
        <w:rPr>
          <w:rFonts w:ascii="Times New Roman" w:hAnsi="Times New Roman" w:cs="Times New Roman"/>
          <w:sz w:val="24"/>
          <w:szCs w:val="24"/>
        </w:rPr>
        <w:t xml:space="preserve"> come piattaforma per</w:t>
      </w:r>
      <w:r>
        <w:rPr>
          <w:rFonts w:ascii="Times New Roman" w:hAnsi="Times New Roman" w:cs="Times New Roman"/>
          <w:sz w:val="24"/>
          <w:szCs w:val="24"/>
        </w:rPr>
        <w:t xml:space="preserve"> la circolazione d</w:t>
      </w:r>
      <w:r w:rsidRPr="00561A37">
        <w:rPr>
          <w:rFonts w:ascii="Times New Roman" w:hAnsi="Times New Roman" w:cs="Times New Roman"/>
          <w:sz w:val="24"/>
          <w:szCs w:val="24"/>
        </w:rPr>
        <w:t>e</w:t>
      </w:r>
      <w:r>
        <w:rPr>
          <w:rFonts w:ascii="Times New Roman" w:hAnsi="Times New Roman" w:cs="Times New Roman"/>
          <w:sz w:val="24"/>
          <w:szCs w:val="24"/>
        </w:rPr>
        <w:t>i</w:t>
      </w:r>
      <w:r w:rsidRPr="00561A37">
        <w:rPr>
          <w:rFonts w:ascii="Times New Roman" w:hAnsi="Times New Roman" w:cs="Times New Roman"/>
          <w:sz w:val="24"/>
          <w:szCs w:val="24"/>
        </w:rPr>
        <w:t xml:space="preserve"> modelli di provvedimento, delle prassi e dei precedenti.</w:t>
      </w:r>
    </w:p>
    <w:p w:rsidR="0095000D" w:rsidRDefault="0095000D" w:rsidP="0095000D">
      <w:pPr>
        <w:spacing w:before="120" w:after="120" w:line="240" w:lineRule="auto"/>
        <w:jc w:val="both"/>
        <w:rPr>
          <w:rFonts w:ascii="Times New Roman" w:hAnsi="Times New Roman" w:cs="Times New Roman"/>
          <w:sz w:val="24"/>
          <w:szCs w:val="24"/>
          <w:u w:val="single"/>
        </w:rPr>
      </w:pPr>
      <w:r w:rsidRPr="008E3CFF">
        <w:rPr>
          <w:rFonts w:ascii="Times New Roman" w:hAnsi="Times New Roman" w:cs="Times New Roman"/>
          <w:sz w:val="24"/>
          <w:szCs w:val="24"/>
          <w:u w:val="single"/>
        </w:rPr>
        <w:t>Pre</w:t>
      </w:r>
      <w:r>
        <w:rPr>
          <w:rFonts w:ascii="Times New Roman" w:hAnsi="Times New Roman" w:cs="Times New Roman"/>
          <w:sz w:val="24"/>
          <w:szCs w:val="24"/>
          <w:u w:val="single"/>
        </w:rPr>
        <w:t>vedibilità, pre</w:t>
      </w:r>
      <w:r w:rsidRPr="008E3CFF">
        <w:rPr>
          <w:rFonts w:ascii="Times New Roman" w:hAnsi="Times New Roman" w:cs="Times New Roman"/>
          <w:sz w:val="24"/>
          <w:szCs w:val="24"/>
          <w:u w:val="single"/>
        </w:rPr>
        <w:t xml:space="preserve">dittività e umanità </w:t>
      </w:r>
      <w:r>
        <w:rPr>
          <w:rFonts w:ascii="Times New Roman" w:hAnsi="Times New Roman" w:cs="Times New Roman"/>
          <w:sz w:val="24"/>
          <w:szCs w:val="24"/>
          <w:u w:val="single"/>
        </w:rPr>
        <w:t>del giudicare:</w:t>
      </w:r>
    </w:p>
    <w:p w:rsidR="0095000D" w:rsidRDefault="0095000D" w:rsidP="0095000D">
      <w:pPr>
        <w:spacing w:before="120" w:after="120" w:line="240" w:lineRule="auto"/>
        <w:jc w:val="both"/>
        <w:rPr>
          <w:rFonts w:ascii="Times New Roman" w:hAnsi="Times New Roman" w:cs="Times New Roman"/>
          <w:sz w:val="24"/>
          <w:szCs w:val="24"/>
        </w:rPr>
      </w:pPr>
      <w:r w:rsidRPr="00AD2EF0">
        <w:rPr>
          <w:rFonts w:ascii="Times New Roman" w:hAnsi="Times New Roman" w:cs="Times New Roman"/>
          <w:sz w:val="24"/>
          <w:szCs w:val="24"/>
        </w:rPr>
        <w:t xml:space="preserve">ad oggi </w:t>
      </w:r>
      <w:r>
        <w:rPr>
          <w:rFonts w:ascii="Times New Roman" w:hAnsi="Times New Roman" w:cs="Times New Roman"/>
          <w:sz w:val="24"/>
          <w:szCs w:val="24"/>
        </w:rPr>
        <w:t>l’organizzazione della giurisdizione in Italia non sembra improntata ad assicurare strumenti adeguati allo stato dell’arte e diffusi in tutti gli Uffici per garantire il valore della prevedibilità delle decisioni attraverso la conoscibilità dei precedenti e degli orientamenti di merito</w:t>
      </w:r>
    </w:p>
    <w:p w:rsidR="0095000D" w:rsidRDefault="0095000D" w:rsidP="0095000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d’altra parte si affacciano, in particolare in altri paesi, studi e programmi che, partendo dall’analisi informatica massiva dei dati giudiziari, introducono la nozione di “giustizia predittiva”, fondata su di un </w:t>
      </w:r>
      <w:r w:rsidRPr="008E3CFF">
        <w:rPr>
          <w:rFonts w:ascii="Times New Roman" w:hAnsi="Times New Roman" w:cs="Times New Roman"/>
          <w:sz w:val="24"/>
          <w:szCs w:val="24"/>
        </w:rPr>
        <w:t>criterio stati</w:t>
      </w:r>
      <w:r>
        <w:rPr>
          <w:rFonts w:ascii="Times New Roman" w:hAnsi="Times New Roman" w:cs="Times New Roman"/>
          <w:sz w:val="24"/>
          <w:szCs w:val="24"/>
        </w:rPr>
        <w:t>stico-matematico del giudicare (date certe caratteristiche del caso, “pre-dico” una data decisione, ad esempio in tema di misura della pena)</w:t>
      </w:r>
    </w:p>
    <w:p w:rsidR="0095000D" w:rsidRDefault="0095000D" w:rsidP="0095000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prevedibilità e predittività sono due “visioni” contrapposte o complementari?</w:t>
      </w:r>
    </w:p>
    <w:p w:rsidR="009C4A57" w:rsidRPr="0095000D" w:rsidRDefault="0095000D" w:rsidP="0095000D">
      <w:pPr>
        <w:spacing w:before="120" w:after="120" w:line="240" w:lineRule="auto"/>
        <w:jc w:val="both"/>
        <w:rPr>
          <w:rFonts w:ascii="Times New Roman" w:eastAsia="Palatino" w:hAnsi="Times New Roman" w:cs="Times New Roman"/>
          <w:sz w:val="24"/>
          <w:szCs w:val="24"/>
        </w:rPr>
      </w:pPr>
      <w:r>
        <w:rPr>
          <w:rFonts w:ascii="Times New Roman" w:hAnsi="Times New Roman" w:cs="Times New Roman"/>
          <w:sz w:val="24"/>
          <w:szCs w:val="24"/>
        </w:rPr>
        <w:t>l</w:t>
      </w:r>
      <w:r w:rsidRPr="00F71118">
        <w:rPr>
          <w:rFonts w:ascii="Times New Roman" w:hAnsi="Times New Roman" w:cs="Times New Roman"/>
          <w:sz w:val="24"/>
          <w:szCs w:val="24"/>
        </w:rPr>
        <w:t xml:space="preserve">’umanità </w:t>
      </w:r>
      <w:r>
        <w:rPr>
          <w:rFonts w:ascii="Times New Roman" w:hAnsi="Times New Roman" w:cs="Times New Roman"/>
          <w:sz w:val="24"/>
          <w:szCs w:val="24"/>
        </w:rPr>
        <w:t xml:space="preserve">è una </w:t>
      </w:r>
      <w:r w:rsidRPr="00F71118">
        <w:rPr>
          <w:rFonts w:ascii="Times New Roman" w:hAnsi="Times New Roman" w:cs="Times New Roman"/>
          <w:sz w:val="24"/>
          <w:szCs w:val="24"/>
        </w:rPr>
        <w:t>caratteristic</w:t>
      </w:r>
      <w:r>
        <w:rPr>
          <w:rFonts w:ascii="Times New Roman" w:hAnsi="Times New Roman" w:cs="Times New Roman"/>
          <w:sz w:val="24"/>
          <w:szCs w:val="24"/>
        </w:rPr>
        <w:t>a insopprimibile del giudicare?</w:t>
      </w:r>
    </w:p>
    <w:sectPr w:rsidR="009C4A57" w:rsidRPr="0095000D">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A9E" w:rsidRDefault="00312A9E">
      <w:pPr>
        <w:spacing w:after="0" w:line="240" w:lineRule="auto"/>
      </w:pPr>
      <w:r>
        <w:separator/>
      </w:r>
    </w:p>
  </w:endnote>
  <w:endnote w:type="continuationSeparator" w:id="0">
    <w:p w:rsidR="00312A9E" w:rsidRDefault="0031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Palatino">
    <w:panose1 w:val="020406020503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233489"/>
      <w:docPartObj>
        <w:docPartGallery w:val="Page Numbers (Bottom of Page)"/>
        <w:docPartUnique/>
      </w:docPartObj>
    </w:sdtPr>
    <w:sdtEndPr/>
    <w:sdtContent>
      <w:p w:rsidR="00F71118" w:rsidRDefault="00F55D79">
        <w:pPr>
          <w:pStyle w:val="Pidipagina"/>
          <w:jc w:val="center"/>
        </w:pPr>
        <w:r>
          <w:fldChar w:fldCharType="begin"/>
        </w:r>
        <w:r>
          <w:instrText>PAGE   \* MERGEFORMAT</w:instrText>
        </w:r>
        <w:r>
          <w:fldChar w:fldCharType="separate"/>
        </w:r>
        <w:r w:rsidR="00C82A1A">
          <w:rPr>
            <w:noProof/>
          </w:rPr>
          <w:t>2</w:t>
        </w:r>
        <w:r>
          <w:fldChar w:fldCharType="end"/>
        </w:r>
      </w:p>
    </w:sdtContent>
  </w:sdt>
  <w:p w:rsidR="00C10A45" w:rsidRDefault="00312A9E">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A9E" w:rsidRDefault="00312A9E">
      <w:pPr>
        <w:spacing w:after="0" w:line="240" w:lineRule="auto"/>
      </w:pPr>
      <w:r>
        <w:separator/>
      </w:r>
    </w:p>
  </w:footnote>
  <w:footnote w:type="continuationSeparator" w:id="0">
    <w:p w:rsidR="00312A9E" w:rsidRDefault="00312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05520"/>
    <w:multiLevelType w:val="hybridMultilevel"/>
    <w:tmpl w:val="CDD6396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BBF226D"/>
    <w:multiLevelType w:val="hybridMultilevel"/>
    <w:tmpl w:val="F47239AE"/>
    <w:lvl w:ilvl="0" w:tplc="BFF6C8AE">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0D"/>
    <w:rsid w:val="00312A9E"/>
    <w:rsid w:val="0095000D"/>
    <w:rsid w:val="009C4A57"/>
    <w:rsid w:val="00C82A1A"/>
    <w:rsid w:val="00F55D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AC4D1-D88F-4C36-820F-499D3051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5000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95000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it-IT"/>
    </w:rPr>
  </w:style>
  <w:style w:type="paragraph" w:styleId="Paragrafoelenco">
    <w:name w:val="List Paragraph"/>
    <w:basedOn w:val="Normale"/>
    <w:uiPriority w:val="34"/>
    <w:qFormat/>
    <w:rsid w:val="009500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eastAsia="en-US"/>
    </w:rPr>
  </w:style>
  <w:style w:type="paragraph" w:styleId="Pidipagina">
    <w:name w:val="footer"/>
    <w:basedOn w:val="Normale"/>
    <w:link w:val="PidipaginaCarattere"/>
    <w:uiPriority w:val="99"/>
    <w:unhideWhenUsed/>
    <w:rsid w:val="009500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000D"/>
    <w:rPr>
      <w:rFonts w:ascii="Calibri" w:eastAsia="Calibri" w:hAnsi="Calibri" w:cs="Calibri"/>
      <w:color w:val="000000"/>
      <w:u w:color="000000"/>
      <w:bdr w:val="nil"/>
      <w:lang w:eastAsia="it-IT"/>
    </w:rPr>
  </w:style>
  <w:style w:type="paragraph" w:styleId="Testofumetto">
    <w:name w:val="Balloon Text"/>
    <w:basedOn w:val="Normale"/>
    <w:link w:val="TestofumettoCarattere"/>
    <w:uiPriority w:val="99"/>
    <w:semiHidden/>
    <w:unhideWhenUsed/>
    <w:rsid w:val="009500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000D"/>
    <w:rPr>
      <w:rFonts w:ascii="Segoe UI" w:eastAsia="Calibri" w:hAnsi="Segoe UI" w:cs="Segoe UI"/>
      <w:color w:val="000000"/>
      <w:sz w:val="18"/>
      <w:szCs w:val="18"/>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688</Words>
  <Characters>3922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Riva Crugnola</dc:creator>
  <cp:keywords/>
  <dc:description/>
  <cp:lastModifiedBy>Elena Riva Crugnola</cp:lastModifiedBy>
  <cp:revision>3</cp:revision>
  <cp:lastPrinted>2018-05-29T17:05:00Z</cp:lastPrinted>
  <dcterms:created xsi:type="dcterms:W3CDTF">2018-05-29T16:58:00Z</dcterms:created>
  <dcterms:modified xsi:type="dcterms:W3CDTF">2018-05-29T17:10:00Z</dcterms:modified>
</cp:coreProperties>
</file>